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2FA" w:rsidRDefault="003E12FA" w:rsidP="003E12FA">
      <w:pPr>
        <w:spacing w:after="180"/>
      </w:pPr>
      <w:r>
        <w:t xml:space="preserve">The </w:t>
      </w:r>
      <w:r w:rsidR="00A048B1">
        <w:t>California Lighting and Appliance Saturation Surveys</w:t>
      </w:r>
      <w:r w:rsidR="00E636E7">
        <w:t xml:space="preserve"> (C</w:t>
      </w:r>
      <w:bookmarkStart w:id="0" w:name="_GoBack"/>
      <w:bookmarkEnd w:id="0"/>
      <w:r w:rsidR="00E636E7">
        <w:t>LASS</w:t>
      </w:r>
      <w:r w:rsidR="00050E1C">
        <w:t xml:space="preserve"> 2012</w:t>
      </w:r>
      <w:r w:rsidR="00E636E7">
        <w:t>)</w:t>
      </w:r>
      <w:r w:rsidR="00050E1C">
        <w:rPr>
          <w:rStyle w:val="FootnoteReference"/>
        </w:rPr>
        <w:footnoteReference w:id="1"/>
      </w:r>
      <w:r w:rsidR="00A048B1">
        <w:t xml:space="preserve"> </w:t>
      </w:r>
      <w:r>
        <w:t>and the Residential Upstream L</w:t>
      </w:r>
      <w:r w:rsidR="005C0A10">
        <w:t>ighting Program Evaluation (WO28</w:t>
      </w:r>
      <w:r>
        <w:t>)</w:t>
      </w:r>
      <w:r w:rsidR="00050E1C">
        <w:rPr>
          <w:rStyle w:val="FootnoteReference"/>
        </w:rPr>
        <w:footnoteReference w:id="2"/>
      </w:r>
      <w:r>
        <w:t xml:space="preserve"> research </w:t>
      </w:r>
      <w:r w:rsidR="00A048B1">
        <w:t>indicate</w:t>
      </w:r>
      <w:r>
        <w:t xml:space="preserve"> significant revisions to CFL gross, net and lifecycle savings calculations are needed. Some of the critical outcomes of this research include:</w:t>
      </w:r>
    </w:p>
    <w:p w:rsidR="003E12FA" w:rsidRDefault="003E12FA" w:rsidP="003E12FA">
      <w:pPr>
        <w:pStyle w:val="ListParagraph"/>
        <w:numPr>
          <w:ilvl w:val="0"/>
          <w:numId w:val="12"/>
        </w:numPr>
        <w:spacing w:after="180"/>
      </w:pPr>
      <w:r>
        <w:t>Saturation of CFLs in sockets has increased since the completion of the 2006-2008 program cycle data collection</w:t>
      </w:r>
      <w:r w:rsidR="0007189F">
        <w:t xml:space="preserve">, </w:t>
      </w:r>
      <w:r w:rsidR="00631080">
        <w:t>however at a decreasing rate</w:t>
      </w:r>
      <w:r>
        <w:t>.</w:t>
      </w:r>
    </w:p>
    <w:p w:rsidR="003E12FA" w:rsidRDefault="003E12FA" w:rsidP="003E12FA">
      <w:pPr>
        <w:pStyle w:val="ListParagraph"/>
        <w:numPr>
          <w:ilvl w:val="0"/>
          <w:numId w:val="12"/>
        </w:numPr>
        <w:spacing w:after="180"/>
      </w:pPr>
      <w:r>
        <w:t>The saturation increase does not account for the total number of lamps (both program and non-program) sold during the program cycle, which is an indication of a high number of CFL-to-CFL replacements</w:t>
      </w:r>
      <w:r w:rsidR="00530903">
        <w:t xml:space="preserve">, </w:t>
      </w:r>
      <w:r w:rsidR="001E4969">
        <w:t>early removals and burnouts</w:t>
      </w:r>
      <w:r w:rsidR="00530903">
        <w:t>, or a combination of both.</w:t>
      </w:r>
    </w:p>
    <w:p w:rsidR="00530903" w:rsidRDefault="00050E1C" w:rsidP="003E12FA">
      <w:pPr>
        <w:pStyle w:val="ListParagraph"/>
        <w:numPr>
          <w:ilvl w:val="0"/>
          <w:numId w:val="12"/>
        </w:numPr>
        <w:spacing w:after="180"/>
      </w:pPr>
      <w:r>
        <w:t xml:space="preserve">A primary issue identified by the inclusion of this technology in the ESPI uncertain measure list for 2013-2014 </w:t>
      </w:r>
      <w:r w:rsidR="005C2545">
        <w:t>is the portion of</w:t>
      </w:r>
      <w:r w:rsidR="00530903">
        <w:t xml:space="preserve"> CFL-to-CFL </w:t>
      </w:r>
      <w:r w:rsidR="005C2545">
        <w:t>that</w:t>
      </w:r>
      <w:r w:rsidR="00530903">
        <w:t xml:space="preserve"> should be considered as part of the gross savings analysis</w:t>
      </w:r>
      <w:r w:rsidR="005C2545">
        <w:t xml:space="preserve">. The fraction of </w:t>
      </w:r>
      <w:r w:rsidR="00B87C30">
        <w:t xml:space="preserve">CFL-to-CFL replacements </w:t>
      </w:r>
      <w:r w:rsidR="005C2545">
        <w:t>that should be included into the gross savings should not include those which would</w:t>
      </w:r>
      <w:r w:rsidR="00B87C30">
        <w:t xml:space="preserve"> revert back to an inefficient lighting technology absent the program. The </w:t>
      </w:r>
      <w:r w:rsidR="005C2545">
        <w:t>previously</w:t>
      </w:r>
      <w:r w:rsidR="00B87C30">
        <w:t xml:space="preserve"> recommended </w:t>
      </w:r>
      <w:r w:rsidR="005C2545">
        <w:t xml:space="preserve">and adopted DEER </w:t>
      </w:r>
      <w:r w:rsidR="00B87C30">
        <w:t xml:space="preserve">NTG value </w:t>
      </w:r>
      <w:r w:rsidR="005C2545">
        <w:t xml:space="preserve">for upstream screw-in CFLs </w:t>
      </w:r>
      <w:r w:rsidR="00B87C30">
        <w:t>assumes that approximately 40% of all program CFL lamps would not have been purchased and installed absent the program AND that the sockets where those program lamps were eventually installed would have had an incandescent lamp installed and NOT a non-program CFL.</w:t>
      </w:r>
    </w:p>
    <w:p w:rsidR="00B948DF" w:rsidRDefault="00B948DF" w:rsidP="003E12FA">
      <w:pPr>
        <w:pStyle w:val="ListParagraph"/>
        <w:numPr>
          <w:ilvl w:val="0"/>
          <w:numId w:val="12"/>
        </w:numPr>
        <w:spacing w:after="180"/>
      </w:pPr>
      <w:r>
        <w:t>If CFL-to-CFL replacements</w:t>
      </w:r>
      <w:r w:rsidR="001E4969">
        <w:t xml:space="preserve">, </w:t>
      </w:r>
      <w:r w:rsidR="005C2545">
        <w:t xml:space="preserve">due to all mechanisms such as early CFL removals </w:t>
      </w:r>
      <w:r w:rsidR="001E4969">
        <w:t xml:space="preserve">and burned-out </w:t>
      </w:r>
      <w:r w:rsidR="005C2545">
        <w:t>CFL</w:t>
      </w:r>
      <w:r w:rsidR="001E4969">
        <w:t>s</w:t>
      </w:r>
      <w:r w:rsidR="005C2545">
        <w:t>,</w:t>
      </w:r>
      <w:r>
        <w:t xml:space="preserve"> are </w:t>
      </w:r>
      <w:r w:rsidR="005C2545">
        <w:t xml:space="preserve">included in the </w:t>
      </w:r>
      <w:r>
        <w:t>gross</w:t>
      </w:r>
      <w:r w:rsidR="005C2545">
        <w:t xml:space="preserve"> baseline</w:t>
      </w:r>
      <w:r>
        <w:t xml:space="preserve">, then it is not necessary to know the breakdown </w:t>
      </w:r>
      <w:r w:rsidR="001E4969">
        <w:t>among these categories</w:t>
      </w:r>
      <w:r w:rsidR="00CE5A6D">
        <w:t xml:space="preserve">. </w:t>
      </w:r>
      <w:r w:rsidR="002F624C">
        <w:t>The challenge of determining and appropriate EUL remains</w:t>
      </w:r>
      <w:r>
        <w:t xml:space="preserve">, but the first year gross savings calculation becomes </w:t>
      </w:r>
      <w:r w:rsidR="002F624C">
        <w:t xml:space="preserve">more </w:t>
      </w:r>
      <w:r>
        <w:t>straightforward.</w:t>
      </w:r>
    </w:p>
    <w:p w:rsidR="00B87C30" w:rsidRDefault="00B948DF" w:rsidP="00B948DF">
      <w:pPr>
        <w:pStyle w:val="ListParagraph"/>
        <w:numPr>
          <w:ilvl w:val="0"/>
          <w:numId w:val="12"/>
        </w:numPr>
        <w:spacing w:after="180"/>
        <w:contextualSpacing w:val="0"/>
      </w:pPr>
      <w:r>
        <w:t>As discussed above, t</w:t>
      </w:r>
      <w:r w:rsidR="00B87C30">
        <w:t xml:space="preserve">he high CFL-to-CFL replacement level confounds the calculation of life-cycle savings and overall cost-effectiveness because </w:t>
      </w:r>
      <w:r w:rsidR="005C2545">
        <w:t>of the implied</w:t>
      </w:r>
      <w:r w:rsidR="00B87C30">
        <w:t xml:space="preserve"> lower EUL than is currently </w:t>
      </w:r>
      <w:r w:rsidR="005C2545">
        <w:t xml:space="preserve">included in </w:t>
      </w:r>
      <w:r w:rsidR="00B87C30">
        <w:t>DEER.</w:t>
      </w:r>
    </w:p>
    <w:p w:rsidR="00672014" w:rsidRPr="00563409" w:rsidRDefault="00672014" w:rsidP="00563409">
      <w:pPr>
        <w:spacing w:after="180"/>
        <w:rPr>
          <w:b/>
        </w:rPr>
      </w:pPr>
      <w:r w:rsidRPr="00563409">
        <w:rPr>
          <w:b/>
        </w:rPr>
        <w:t>Gross Unit Energy Savings</w:t>
      </w:r>
    </w:p>
    <w:p w:rsidR="00183CAA" w:rsidRDefault="00183CAA" w:rsidP="00183CAA">
      <w:pPr>
        <w:spacing w:after="120"/>
        <w:ind w:left="360"/>
      </w:pPr>
      <w:r>
        <w:t>Unit energy savings (UES) values for lighting measures are calculated using ex-ante parameter values applied to a reference method provided in the equations below.</w:t>
      </w:r>
    </w:p>
    <w:p w:rsidR="00183CAA" w:rsidRPr="00E125A9" w:rsidRDefault="00183CAA" w:rsidP="00183CAA">
      <w:pPr>
        <w:tabs>
          <w:tab w:val="right" w:pos="1800"/>
          <w:tab w:val="left" w:pos="6120"/>
        </w:tabs>
        <w:spacing w:after="0"/>
        <w:ind w:left="1886" w:hanging="1166"/>
      </w:pPr>
      <w:r>
        <w:tab/>
      </w:r>
      <w:proofErr w:type="spellStart"/>
      <w:r>
        <w:t>UES</w:t>
      </w:r>
      <w:r w:rsidRPr="00023375">
        <w:rPr>
          <w:i/>
          <w:vertAlign w:val="subscript"/>
        </w:rPr>
        <w:t>kWh</w:t>
      </w:r>
      <w:proofErr w:type="spellEnd"/>
      <w:r>
        <w:tab/>
        <w:t>= (</w:t>
      </w:r>
      <w:proofErr w:type="spellStart"/>
      <w:r>
        <w:t>kW</w:t>
      </w:r>
      <w:r w:rsidRPr="00023375">
        <w:rPr>
          <w:i/>
          <w:vertAlign w:val="subscript"/>
        </w:rPr>
        <w:t>base</w:t>
      </w:r>
      <w:proofErr w:type="spellEnd"/>
      <w:r>
        <w:t xml:space="preserve"> – </w:t>
      </w:r>
      <w:proofErr w:type="spellStart"/>
      <w:r>
        <w:t>kW</w:t>
      </w:r>
      <w:r w:rsidRPr="00023375">
        <w:rPr>
          <w:i/>
          <w:vertAlign w:val="subscript"/>
        </w:rPr>
        <w:t>msr</w:t>
      </w:r>
      <w:proofErr w:type="spellEnd"/>
      <w:r>
        <w:t xml:space="preserve">) * HOU * </w:t>
      </w:r>
      <w:proofErr w:type="spellStart"/>
      <w:r>
        <w:t>IEF</w:t>
      </w:r>
      <w:r w:rsidRPr="00023375">
        <w:rPr>
          <w:i/>
          <w:vertAlign w:val="subscript"/>
        </w:rPr>
        <w:t>kWh</w:t>
      </w:r>
      <w:proofErr w:type="spellEnd"/>
      <w:r>
        <w:rPr>
          <w:i/>
          <w:vertAlign w:val="subscript"/>
        </w:rPr>
        <w:tab/>
      </w:r>
      <w:r>
        <w:rPr>
          <w:i/>
        </w:rPr>
        <w:t>Equation 1</w:t>
      </w:r>
    </w:p>
    <w:p w:rsidR="00183CAA" w:rsidRPr="00E125A9" w:rsidRDefault="00183CAA" w:rsidP="00183CAA">
      <w:pPr>
        <w:tabs>
          <w:tab w:val="right" w:pos="1800"/>
          <w:tab w:val="left" w:pos="6120"/>
        </w:tabs>
        <w:spacing w:after="0"/>
        <w:ind w:left="1886" w:hanging="1166"/>
      </w:pPr>
      <w:r>
        <w:tab/>
      </w:r>
      <w:proofErr w:type="spellStart"/>
      <w:r>
        <w:t>UES</w:t>
      </w:r>
      <w:r w:rsidRPr="00023375">
        <w:rPr>
          <w:i/>
          <w:vertAlign w:val="subscript"/>
        </w:rPr>
        <w:t>kW</w:t>
      </w:r>
      <w:proofErr w:type="spellEnd"/>
      <w:r>
        <w:tab/>
        <w:t>= (</w:t>
      </w:r>
      <w:proofErr w:type="spellStart"/>
      <w:r>
        <w:t>kW</w:t>
      </w:r>
      <w:r w:rsidRPr="00023375">
        <w:rPr>
          <w:i/>
          <w:vertAlign w:val="subscript"/>
        </w:rPr>
        <w:t>base</w:t>
      </w:r>
      <w:proofErr w:type="spellEnd"/>
      <w:r>
        <w:t xml:space="preserve"> – </w:t>
      </w:r>
      <w:proofErr w:type="spellStart"/>
      <w:r>
        <w:t>kW</w:t>
      </w:r>
      <w:r w:rsidRPr="00023375">
        <w:rPr>
          <w:i/>
          <w:vertAlign w:val="subscript"/>
        </w:rPr>
        <w:t>msr</w:t>
      </w:r>
      <w:proofErr w:type="spellEnd"/>
      <w:r>
        <w:t xml:space="preserve">) * CDF * </w:t>
      </w:r>
      <w:proofErr w:type="spellStart"/>
      <w:r>
        <w:t>IEF</w:t>
      </w:r>
      <w:r w:rsidRPr="00023375">
        <w:rPr>
          <w:i/>
          <w:vertAlign w:val="subscript"/>
        </w:rPr>
        <w:t>kW</w:t>
      </w:r>
      <w:proofErr w:type="spellEnd"/>
      <w:r>
        <w:rPr>
          <w:i/>
          <w:vertAlign w:val="subscript"/>
        </w:rPr>
        <w:tab/>
      </w:r>
      <w:r>
        <w:rPr>
          <w:i/>
        </w:rPr>
        <w:t>Equation 2</w:t>
      </w:r>
    </w:p>
    <w:p w:rsidR="00183CAA" w:rsidRPr="00E125A9" w:rsidRDefault="00183CAA" w:rsidP="00183CAA">
      <w:pPr>
        <w:tabs>
          <w:tab w:val="right" w:pos="1800"/>
          <w:tab w:val="left" w:pos="6120"/>
        </w:tabs>
        <w:spacing w:after="120"/>
        <w:ind w:left="1886" w:hanging="1166"/>
        <w:rPr>
          <w:i/>
        </w:rPr>
      </w:pPr>
      <w:r>
        <w:tab/>
      </w:r>
      <w:proofErr w:type="spellStart"/>
      <w:r>
        <w:t>UES</w:t>
      </w:r>
      <w:r w:rsidRPr="00023375">
        <w:rPr>
          <w:i/>
          <w:vertAlign w:val="subscript"/>
        </w:rPr>
        <w:t>therm</w:t>
      </w:r>
      <w:proofErr w:type="spellEnd"/>
      <w:r>
        <w:tab/>
        <w:t xml:space="preserve">= </w:t>
      </w:r>
      <w:proofErr w:type="spellStart"/>
      <w:r>
        <w:t>UES</w:t>
      </w:r>
      <w:r w:rsidRPr="00023375">
        <w:rPr>
          <w:i/>
          <w:vertAlign w:val="subscript"/>
        </w:rPr>
        <w:t>kWh</w:t>
      </w:r>
      <w:proofErr w:type="spellEnd"/>
      <w:r>
        <w:t xml:space="preserve"> * </w:t>
      </w:r>
      <w:proofErr w:type="spellStart"/>
      <w:r>
        <w:t>IEF</w:t>
      </w:r>
      <w:r w:rsidRPr="00023375">
        <w:rPr>
          <w:i/>
          <w:vertAlign w:val="subscript"/>
        </w:rPr>
        <w:t>therm</w:t>
      </w:r>
      <w:proofErr w:type="spellEnd"/>
      <w:r>
        <w:rPr>
          <w:i/>
          <w:vertAlign w:val="subscript"/>
        </w:rPr>
        <w:tab/>
      </w:r>
      <w:r>
        <w:rPr>
          <w:i/>
        </w:rPr>
        <w:t>Equation 3</w:t>
      </w:r>
    </w:p>
    <w:p w:rsidR="00183CAA" w:rsidRDefault="00183CAA" w:rsidP="00183CAA">
      <w:pPr>
        <w:tabs>
          <w:tab w:val="right" w:pos="1800"/>
        </w:tabs>
        <w:spacing w:after="120"/>
        <w:ind w:left="1886" w:hanging="1166"/>
      </w:pPr>
      <w:r>
        <w:t>Where:</w:t>
      </w:r>
    </w:p>
    <w:p w:rsidR="00183CAA" w:rsidRDefault="00183CAA" w:rsidP="00183CAA">
      <w:pPr>
        <w:tabs>
          <w:tab w:val="right" w:pos="1800"/>
          <w:tab w:val="left" w:pos="1890"/>
        </w:tabs>
        <w:spacing w:after="0"/>
        <w:ind w:left="1886" w:hanging="1166"/>
      </w:pPr>
      <w:r>
        <w:tab/>
      </w:r>
      <w:proofErr w:type="spellStart"/>
      <w:r>
        <w:t>UES</w:t>
      </w:r>
      <w:r w:rsidRPr="00023375">
        <w:rPr>
          <w:i/>
          <w:vertAlign w:val="subscript"/>
        </w:rPr>
        <w:t>kWh</w:t>
      </w:r>
      <w:proofErr w:type="spellEnd"/>
      <w:r>
        <w:t>:</w:t>
      </w:r>
      <w:r>
        <w:tab/>
        <w:t>The unit energy consumption savings</w:t>
      </w:r>
    </w:p>
    <w:p w:rsidR="00183CAA" w:rsidRDefault="00183CAA" w:rsidP="00183CAA">
      <w:pPr>
        <w:tabs>
          <w:tab w:val="right" w:pos="1800"/>
          <w:tab w:val="left" w:pos="1890"/>
        </w:tabs>
        <w:spacing w:after="0"/>
        <w:ind w:left="1886" w:hanging="1166"/>
      </w:pPr>
      <w:r>
        <w:lastRenderedPageBreak/>
        <w:tab/>
      </w:r>
      <w:proofErr w:type="spellStart"/>
      <w:r>
        <w:t>UES</w:t>
      </w:r>
      <w:r w:rsidRPr="00023375">
        <w:rPr>
          <w:i/>
          <w:vertAlign w:val="subscript"/>
        </w:rPr>
        <w:t>kW</w:t>
      </w:r>
      <w:proofErr w:type="spellEnd"/>
      <w:r>
        <w:t>:</w:t>
      </w:r>
      <w:r>
        <w:tab/>
        <w:t>The unit energy demand savings</w:t>
      </w:r>
    </w:p>
    <w:p w:rsidR="00183CAA" w:rsidRDefault="00183CAA" w:rsidP="00183CAA">
      <w:pPr>
        <w:tabs>
          <w:tab w:val="right" w:pos="1800"/>
          <w:tab w:val="left" w:pos="1890"/>
        </w:tabs>
        <w:spacing w:after="0"/>
        <w:ind w:left="1886" w:hanging="1166"/>
      </w:pPr>
      <w:r>
        <w:tab/>
      </w:r>
      <w:proofErr w:type="spellStart"/>
      <w:r>
        <w:t>UES</w:t>
      </w:r>
      <w:r w:rsidRPr="00023375">
        <w:rPr>
          <w:i/>
          <w:vertAlign w:val="subscript"/>
        </w:rPr>
        <w:t>therm</w:t>
      </w:r>
      <w:proofErr w:type="spellEnd"/>
      <w:r>
        <w:t>:</w:t>
      </w:r>
      <w:r>
        <w:tab/>
        <w:t>The unit energy natural gas savings (always negative for lighting measures)</w:t>
      </w:r>
    </w:p>
    <w:p w:rsidR="00183CAA" w:rsidRDefault="00183CAA" w:rsidP="00183CAA">
      <w:pPr>
        <w:tabs>
          <w:tab w:val="right" w:pos="1800"/>
          <w:tab w:val="left" w:pos="1890"/>
        </w:tabs>
        <w:spacing w:after="0"/>
        <w:ind w:left="1886" w:hanging="1166"/>
      </w:pPr>
      <w:r>
        <w:tab/>
      </w:r>
      <w:proofErr w:type="spellStart"/>
      <w:proofErr w:type="gramStart"/>
      <w:r>
        <w:t>kW</w:t>
      </w:r>
      <w:r w:rsidRPr="00023375">
        <w:rPr>
          <w:i/>
          <w:vertAlign w:val="subscript"/>
        </w:rPr>
        <w:t>base</w:t>
      </w:r>
      <w:proofErr w:type="spellEnd"/>
      <w:proofErr w:type="gramEnd"/>
      <w:r>
        <w:t>:</w:t>
      </w:r>
      <w:r>
        <w:tab/>
        <w:t>The input power of the base fixture, above which the savings are calculated.</w:t>
      </w:r>
    </w:p>
    <w:p w:rsidR="00183CAA" w:rsidRDefault="00183CAA" w:rsidP="00183CAA">
      <w:pPr>
        <w:tabs>
          <w:tab w:val="right" w:pos="1800"/>
          <w:tab w:val="left" w:pos="1890"/>
        </w:tabs>
        <w:spacing w:after="0"/>
        <w:ind w:left="1886" w:hanging="1166"/>
      </w:pPr>
      <w:r>
        <w:tab/>
      </w:r>
      <w:proofErr w:type="spellStart"/>
      <w:proofErr w:type="gramStart"/>
      <w:r>
        <w:t>kW</w:t>
      </w:r>
      <w:r>
        <w:rPr>
          <w:i/>
          <w:vertAlign w:val="subscript"/>
        </w:rPr>
        <w:t>msr</w:t>
      </w:r>
      <w:proofErr w:type="spellEnd"/>
      <w:proofErr w:type="gramEnd"/>
      <w:r>
        <w:t>:</w:t>
      </w:r>
      <w:r>
        <w:tab/>
        <w:t>The input power of the measure fixture.</w:t>
      </w:r>
    </w:p>
    <w:p w:rsidR="00183CAA" w:rsidRDefault="00183CAA" w:rsidP="00183CAA">
      <w:pPr>
        <w:tabs>
          <w:tab w:val="right" w:pos="1800"/>
          <w:tab w:val="left" w:pos="1890"/>
        </w:tabs>
        <w:spacing w:after="0"/>
        <w:ind w:left="1886" w:hanging="1166"/>
      </w:pPr>
      <w:r>
        <w:tab/>
        <w:t>HOU:</w:t>
      </w:r>
      <w:r>
        <w:tab/>
        <w:t>The annual hours of use</w:t>
      </w:r>
    </w:p>
    <w:p w:rsidR="00183CAA" w:rsidRDefault="00183CAA" w:rsidP="00183CAA">
      <w:pPr>
        <w:tabs>
          <w:tab w:val="right" w:pos="1800"/>
          <w:tab w:val="left" w:pos="1890"/>
        </w:tabs>
        <w:spacing w:after="0"/>
        <w:ind w:left="1886" w:hanging="1166"/>
      </w:pPr>
      <w:r>
        <w:tab/>
      </w:r>
      <w:proofErr w:type="spellStart"/>
      <w:r>
        <w:t>IEF</w:t>
      </w:r>
      <w:r w:rsidRPr="00023375">
        <w:rPr>
          <w:i/>
          <w:vertAlign w:val="subscript"/>
        </w:rPr>
        <w:t>kWh</w:t>
      </w:r>
      <w:proofErr w:type="spellEnd"/>
      <w:r>
        <w:t>:</w:t>
      </w:r>
      <w:r>
        <w:tab/>
        <w:t>The annual HVAC interactive effects factor for energy consumption, expressed as kWh/kWh. This factor represents the additional savings benefits due reduced installed lighting power which results in reduced operation of air conditioning systems.</w:t>
      </w:r>
    </w:p>
    <w:p w:rsidR="00183CAA" w:rsidRDefault="00183CAA" w:rsidP="00183CAA">
      <w:pPr>
        <w:tabs>
          <w:tab w:val="right" w:pos="1800"/>
          <w:tab w:val="left" w:pos="1890"/>
        </w:tabs>
        <w:spacing w:after="0"/>
        <w:ind w:left="1886" w:hanging="1166"/>
      </w:pPr>
      <w:r>
        <w:tab/>
        <w:t>CDF:</w:t>
      </w:r>
      <w:r>
        <w:tab/>
        <w:t>The coincident demand factor, which represents the total fraction of lights turned on during the DEER peak demand period</w:t>
      </w:r>
    </w:p>
    <w:p w:rsidR="00183CAA" w:rsidRDefault="00183CAA" w:rsidP="00183CAA">
      <w:pPr>
        <w:tabs>
          <w:tab w:val="right" w:pos="1800"/>
          <w:tab w:val="left" w:pos="1890"/>
        </w:tabs>
        <w:spacing w:after="0"/>
        <w:ind w:left="1886" w:hanging="1166"/>
      </w:pPr>
      <w:r>
        <w:tab/>
      </w:r>
      <w:proofErr w:type="spellStart"/>
      <w:r>
        <w:t>IEF</w:t>
      </w:r>
      <w:r w:rsidRPr="00023375">
        <w:rPr>
          <w:i/>
          <w:vertAlign w:val="subscript"/>
        </w:rPr>
        <w:t>kW</w:t>
      </w:r>
      <w:proofErr w:type="spellEnd"/>
      <w:r>
        <w:t>:</w:t>
      </w:r>
      <w:r>
        <w:tab/>
        <w:t>The HVAC peak demand interactive effects factor, expressed as kW/kW. This factor represents the additional demand reduction due to reduced installed lighting power which results in lower overall cooling demand during the DEER peak demand period.</w:t>
      </w:r>
    </w:p>
    <w:p w:rsidR="00183CAA" w:rsidRDefault="00183CAA" w:rsidP="00183CAA">
      <w:pPr>
        <w:tabs>
          <w:tab w:val="right" w:pos="1800"/>
          <w:tab w:val="left" w:pos="1890"/>
        </w:tabs>
        <w:spacing w:after="180"/>
        <w:ind w:left="1886" w:hanging="1166"/>
      </w:pPr>
      <w:r>
        <w:tab/>
      </w:r>
      <w:proofErr w:type="spellStart"/>
      <w:r>
        <w:t>IEF</w:t>
      </w:r>
      <w:r w:rsidRPr="00023375">
        <w:rPr>
          <w:i/>
          <w:vertAlign w:val="subscript"/>
        </w:rPr>
        <w:t>therm</w:t>
      </w:r>
      <w:proofErr w:type="spellEnd"/>
      <w:r>
        <w:t>:</w:t>
      </w:r>
      <w:r>
        <w:tab/>
        <w:t xml:space="preserve">The HVAC natural gas heating interactive effects factor, expressed as </w:t>
      </w:r>
      <w:proofErr w:type="spellStart"/>
      <w:r>
        <w:t>therm</w:t>
      </w:r>
      <w:proofErr w:type="spellEnd"/>
      <w:r>
        <w:t>/kWh. This factor represents the additional natural gas consumptions needed due to reduced installed lighting power, which results in increased operation of natural gas heating equipment.</w:t>
      </w:r>
    </w:p>
    <w:p w:rsidR="00E125A9" w:rsidRDefault="00183CAA" w:rsidP="00563409">
      <w:pPr>
        <w:spacing w:after="120"/>
      </w:pPr>
      <w:r>
        <w:t>A</w:t>
      </w:r>
      <w:r w:rsidR="00E125A9">
        <w:t xml:space="preserve"> wattage reduction</w:t>
      </w:r>
      <w:r>
        <w:t xml:space="preserve"> ratio (WWR)</w:t>
      </w:r>
      <w:r w:rsidR="00E125A9">
        <w:t xml:space="preserve"> is </w:t>
      </w:r>
      <w:r>
        <w:t>defined</w:t>
      </w:r>
      <w:r w:rsidR="00E125A9">
        <w:t xml:space="preserve"> in terms of the ratio of base</w:t>
      </w:r>
      <w:r>
        <w:t xml:space="preserve">line wattage to measure </w:t>
      </w:r>
      <w:r w:rsidR="00DB65B4">
        <w:t>wattage (</w:t>
      </w:r>
      <w:proofErr w:type="spellStart"/>
      <w:r>
        <w:t>kW</w:t>
      </w:r>
      <w:r w:rsidRPr="00023375">
        <w:rPr>
          <w:i/>
          <w:vertAlign w:val="subscript"/>
        </w:rPr>
        <w:t>base</w:t>
      </w:r>
      <w:proofErr w:type="spellEnd"/>
      <w:r>
        <w:t>/</w:t>
      </w:r>
      <w:proofErr w:type="spellStart"/>
      <w:r>
        <w:t>kW</w:t>
      </w:r>
      <w:r w:rsidRPr="00023375">
        <w:rPr>
          <w:i/>
          <w:vertAlign w:val="subscript"/>
        </w:rPr>
        <w:t>msr</w:t>
      </w:r>
      <w:proofErr w:type="spellEnd"/>
      <w:r>
        <w:t>)</w:t>
      </w:r>
      <w:r w:rsidR="00E125A9">
        <w:t>. The WRR represents the ratio of the typic</w:t>
      </w:r>
      <w:r>
        <w:t>al replaced inefficient wattage</w:t>
      </w:r>
      <w:r w:rsidR="00E125A9">
        <w:t xml:space="preserve"> to the typical installed CFL wat</w:t>
      </w:r>
      <w:r>
        <w:t>tage</w:t>
      </w:r>
      <w:r w:rsidR="00E125A9">
        <w:t xml:space="preserve">. Equations 1, 2 and 3 can be restated </w:t>
      </w:r>
      <w:r w:rsidR="00C75FA9">
        <w:t xml:space="preserve">in terms of the WRR </w:t>
      </w:r>
      <w:r w:rsidR="00E125A9">
        <w:t>as</w:t>
      </w:r>
      <w:r w:rsidR="008019E6">
        <w:rPr>
          <w:rStyle w:val="FootnoteReference"/>
        </w:rPr>
        <w:footnoteReference w:id="3"/>
      </w:r>
      <w:r w:rsidR="00E125A9">
        <w:t>:</w:t>
      </w:r>
    </w:p>
    <w:p w:rsidR="00E125A9" w:rsidRPr="00E125A9" w:rsidRDefault="00E125A9" w:rsidP="00E125A9">
      <w:pPr>
        <w:tabs>
          <w:tab w:val="right" w:pos="1800"/>
          <w:tab w:val="left" w:pos="6120"/>
        </w:tabs>
        <w:spacing w:after="0"/>
        <w:ind w:left="1886" w:hanging="1166"/>
      </w:pPr>
      <w:r>
        <w:tab/>
      </w:r>
      <w:proofErr w:type="spellStart"/>
      <w:r>
        <w:t>UES</w:t>
      </w:r>
      <w:r w:rsidRPr="00023375">
        <w:rPr>
          <w:i/>
          <w:vertAlign w:val="subscript"/>
        </w:rPr>
        <w:t>kWh</w:t>
      </w:r>
      <w:proofErr w:type="spellEnd"/>
      <w:r>
        <w:tab/>
        <w:t xml:space="preserve">= </w:t>
      </w:r>
      <w:proofErr w:type="spellStart"/>
      <w:r>
        <w:t>kW</w:t>
      </w:r>
      <w:r w:rsidRPr="00023375">
        <w:rPr>
          <w:i/>
          <w:vertAlign w:val="subscript"/>
        </w:rPr>
        <w:t>msr</w:t>
      </w:r>
      <w:proofErr w:type="spellEnd"/>
      <w:r>
        <w:t xml:space="preserve"> * </w:t>
      </w:r>
      <w:proofErr w:type="gramStart"/>
      <w:r>
        <w:t>(</w:t>
      </w:r>
      <w:r w:rsidR="00C75FA9">
        <w:t xml:space="preserve"> </w:t>
      </w:r>
      <w:r>
        <w:t>WRR</w:t>
      </w:r>
      <w:proofErr w:type="gramEnd"/>
      <w:r>
        <w:t xml:space="preserve"> </w:t>
      </w:r>
      <w:r w:rsidR="00C75FA9">
        <w:t xml:space="preserve">– 1 </w:t>
      </w:r>
      <w:r>
        <w:t xml:space="preserve">) * HOU * </w:t>
      </w:r>
      <w:proofErr w:type="spellStart"/>
      <w:r>
        <w:t>IEF</w:t>
      </w:r>
      <w:r w:rsidRPr="00023375">
        <w:rPr>
          <w:i/>
          <w:vertAlign w:val="subscript"/>
        </w:rPr>
        <w:t>kWh</w:t>
      </w:r>
      <w:proofErr w:type="spellEnd"/>
      <w:r>
        <w:rPr>
          <w:i/>
          <w:vertAlign w:val="subscript"/>
        </w:rPr>
        <w:tab/>
      </w:r>
      <w:r>
        <w:rPr>
          <w:i/>
        </w:rPr>
        <w:t>Equation 1</w:t>
      </w:r>
      <w:r w:rsidR="00C75FA9">
        <w:rPr>
          <w:i/>
        </w:rPr>
        <w:t>a</w:t>
      </w:r>
    </w:p>
    <w:p w:rsidR="00E125A9" w:rsidRPr="00E125A9" w:rsidRDefault="00E125A9" w:rsidP="00E125A9">
      <w:pPr>
        <w:tabs>
          <w:tab w:val="right" w:pos="1800"/>
          <w:tab w:val="left" w:pos="6120"/>
        </w:tabs>
        <w:spacing w:after="0"/>
        <w:ind w:left="1886" w:hanging="1166"/>
      </w:pPr>
      <w:r>
        <w:tab/>
      </w:r>
      <w:proofErr w:type="spellStart"/>
      <w:r>
        <w:t>UES</w:t>
      </w:r>
      <w:r w:rsidRPr="00023375">
        <w:rPr>
          <w:i/>
          <w:vertAlign w:val="subscript"/>
        </w:rPr>
        <w:t>kW</w:t>
      </w:r>
      <w:proofErr w:type="spellEnd"/>
      <w:r>
        <w:tab/>
        <w:t xml:space="preserve">= </w:t>
      </w:r>
      <w:proofErr w:type="spellStart"/>
      <w:r>
        <w:t>kW</w:t>
      </w:r>
      <w:r w:rsidRPr="00023375">
        <w:rPr>
          <w:i/>
          <w:vertAlign w:val="subscript"/>
        </w:rPr>
        <w:t>msr</w:t>
      </w:r>
      <w:proofErr w:type="spellEnd"/>
      <w:r>
        <w:t xml:space="preserve"> </w:t>
      </w:r>
      <w:r w:rsidR="00C75FA9">
        <w:t xml:space="preserve">* </w:t>
      </w:r>
      <w:proofErr w:type="gramStart"/>
      <w:r w:rsidR="00C75FA9">
        <w:t>( WRR</w:t>
      </w:r>
      <w:proofErr w:type="gramEnd"/>
      <w:r w:rsidR="00C75FA9">
        <w:t xml:space="preserve"> – 1 </w:t>
      </w:r>
      <w:r>
        <w:t xml:space="preserve">) * CDF * </w:t>
      </w:r>
      <w:proofErr w:type="spellStart"/>
      <w:r>
        <w:t>IEF</w:t>
      </w:r>
      <w:r w:rsidRPr="00023375">
        <w:rPr>
          <w:i/>
          <w:vertAlign w:val="subscript"/>
        </w:rPr>
        <w:t>kW</w:t>
      </w:r>
      <w:proofErr w:type="spellEnd"/>
      <w:r>
        <w:rPr>
          <w:i/>
          <w:vertAlign w:val="subscript"/>
        </w:rPr>
        <w:tab/>
      </w:r>
      <w:r>
        <w:rPr>
          <w:i/>
        </w:rPr>
        <w:t>Equation 2</w:t>
      </w:r>
      <w:r w:rsidR="00C75FA9">
        <w:rPr>
          <w:i/>
        </w:rPr>
        <w:t>a</w:t>
      </w:r>
    </w:p>
    <w:p w:rsidR="00E125A9" w:rsidRPr="00E125A9" w:rsidRDefault="00E125A9" w:rsidP="00D74799">
      <w:pPr>
        <w:tabs>
          <w:tab w:val="right" w:pos="1800"/>
          <w:tab w:val="left" w:pos="6120"/>
        </w:tabs>
        <w:spacing w:after="180"/>
        <w:ind w:left="1886" w:hanging="1166"/>
        <w:rPr>
          <w:i/>
        </w:rPr>
      </w:pPr>
      <w:r>
        <w:tab/>
      </w:r>
      <w:proofErr w:type="spellStart"/>
      <w:r>
        <w:t>UES</w:t>
      </w:r>
      <w:r w:rsidRPr="00023375">
        <w:rPr>
          <w:i/>
          <w:vertAlign w:val="subscript"/>
        </w:rPr>
        <w:t>therm</w:t>
      </w:r>
      <w:proofErr w:type="spellEnd"/>
      <w:r>
        <w:tab/>
        <w:t xml:space="preserve">= </w:t>
      </w:r>
      <w:proofErr w:type="spellStart"/>
      <w:r>
        <w:t>UES</w:t>
      </w:r>
      <w:r w:rsidRPr="00023375">
        <w:rPr>
          <w:i/>
          <w:vertAlign w:val="subscript"/>
        </w:rPr>
        <w:t>kWh</w:t>
      </w:r>
      <w:proofErr w:type="spellEnd"/>
      <w:r>
        <w:t xml:space="preserve"> * </w:t>
      </w:r>
      <w:proofErr w:type="spellStart"/>
      <w:r>
        <w:t>IEF</w:t>
      </w:r>
      <w:r w:rsidRPr="00023375">
        <w:rPr>
          <w:i/>
          <w:vertAlign w:val="subscript"/>
        </w:rPr>
        <w:t>therm</w:t>
      </w:r>
      <w:proofErr w:type="spellEnd"/>
      <w:r>
        <w:rPr>
          <w:i/>
          <w:vertAlign w:val="subscript"/>
        </w:rPr>
        <w:tab/>
      </w:r>
      <w:r>
        <w:rPr>
          <w:i/>
        </w:rPr>
        <w:t>Equation 3</w:t>
      </w:r>
    </w:p>
    <w:p w:rsidR="00B948DF" w:rsidRPr="00563409" w:rsidRDefault="00AF475B" w:rsidP="00563409">
      <w:pPr>
        <w:keepNext/>
        <w:spacing w:after="180"/>
        <w:rPr>
          <w:b/>
        </w:rPr>
      </w:pPr>
      <w:r w:rsidRPr="00563409">
        <w:rPr>
          <w:b/>
        </w:rPr>
        <w:t>Hours of Use and Coincident Demand Factors</w:t>
      </w:r>
    </w:p>
    <w:p w:rsidR="00885B33" w:rsidRDefault="00AF475B" w:rsidP="00563409">
      <w:pPr>
        <w:spacing w:after="180"/>
      </w:pPr>
      <w:r>
        <w:t xml:space="preserve">The current DEER hours of use for residential CFLs were last revised for DEER2011. The overall HOU and CDF values were developed from field logger data collected under the 2006-2008 program evaluation for a wide range of space, use and socket types, then weighted together to develop a typical usage profile that reasonably represents the entire population of CFL lamps. </w:t>
      </w:r>
      <w:r w:rsidR="00885B33">
        <w:t>Once typical usage profiles were fully developed, annual hours of use were calculated based application of those profiles over a full year of operation, and CDFs were developed by identifying the portion of the profile that applies to the DEER peak demand period and calculating the fraction of lights on during that period.</w:t>
      </w:r>
    </w:p>
    <w:p w:rsidR="008C5EBD" w:rsidRDefault="008C5EBD" w:rsidP="00563409">
      <w:pPr>
        <w:spacing w:after="180"/>
      </w:pPr>
      <w:r>
        <w:lastRenderedPageBreak/>
        <w:t xml:space="preserve">The </w:t>
      </w:r>
      <w:r w:rsidR="00276D50">
        <w:t xml:space="preserve">2006-2008 </w:t>
      </w:r>
      <w:r w:rsidR="00E636E7">
        <w:t>Upstream Lighting Pro</w:t>
      </w:r>
      <w:r w:rsidR="00276D50">
        <w:t>gram (</w:t>
      </w:r>
      <w:r>
        <w:t>ULP</w:t>
      </w:r>
      <w:r w:rsidR="00276D50">
        <w:t>)</w:t>
      </w:r>
      <w:r w:rsidR="00D74799">
        <w:rPr>
          <w:rStyle w:val="FootnoteReference"/>
        </w:rPr>
        <w:footnoteReference w:id="4"/>
      </w:r>
      <w:r w:rsidR="00A048B1">
        <w:t xml:space="preserve"> </w:t>
      </w:r>
      <w:r>
        <w:t xml:space="preserve">and WO28 </w:t>
      </w:r>
      <w:r w:rsidR="00276D50">
        <w:t>evaluations</w:t>
      </w:r>
      <w:r w:rsidR="00D74799">
        <w:rPr>
          <w:rStyle w:val="FootnoteReference"/>
        </w:rPr>
        <w:footnoteReference w:id="5"/>
      </w:r>
      <w:r w:rsidR="00276D50">
        <w:t xml:space="preserve"> </w:t>
      </w:r>
      <w:r>
        <w:t xml:space="preserve">have confirmed that CFL purchasers tend to install CFLs in their highest usage sockets first. </w:t>
      </w:r>
      <w:r w:rsidR="006F59B8">
        <w:t>A</w:t>
      </w:r>
      <w:r>
        <w:t>s saturation increases, overall HOU and CDF values for the population of CFLs decreases and approaches the HOU and CDF values for the remaining installed incandescent lamps.</w:t>
      </w:r>
      <w:r w:rsidR="004C7889">
        <w:t xml:space="preserve"> </w:t>
      </w:r>
      <w:fldSimple w:instr=" REF _Ref419541622 ">
        <w:r w:rsidR="00587D03">
          <w:t xml:space="preserve">Table </w:t>
        </w:r>
        <w:r w:rsidR="00587D03">
          <w:rPr>
            <w:noProof/>
          </w:rPr>
          <w:t>1</w:t>
        </w:r>
      </w:fldSimple>
      <w:r w:rsidR="00587D03">
        <w:t xml:space="preserve"> </w:t>
      </w:r>
      <w:r w:rsidR="004C7889">
        <w:t xml:space="preserve">shows the HOU and CDF from DEER2008 and DEER2011 for interior and exterior CFLs. The table also lists the HOU and CDF values based on the ULP logger data for interior and exterior incandescent lamps. Generally, HOU and CDF values decrease </w:t>
      </w:r>
      <w:r w:rsidR="00573099">
        <w:t xml:space="preserve">with more recent data and </w:t>
      </w:r>
      <w:r w:rsidR="00D74799">
        <w:t xml:space="preserve">also the </w:t>
      </w:r>
      <w:r w:rsidR="00573099">
        <w:t>between</w:t>
      </w:r>
      <w:r w:rsidR="00D74799">
        <w:t xml:space="preserve"> HOU values for</w:t>
      </w:r>
      <w:r w:rsidR="00573099">
        <w:t xml:space="preserve"> CFL and incandescent lamps</w:t>
      </w:r>
      <w:r w:rsidR="00D74799">
        <w:t xml:space="preserve"> decreases</w:t>
      </w:r>
      <w:r w:rsidR="00573099">
        <w:t xml:space="preserve">. </w:t>
      </w:r>
      <w:r w:rsidR="006F59B8">
        <w:t>However, t</w:t>
      </w:r>
      <w:r w:rsidR="003D6A8C">
        <w:t xml:space="preserve">hese trends do not hold for exterior installations. </w:t>
      </w:r>
      <w:r w:rsidR="00A3013D">
        <w:t>For exterior installations, the CDF values are higher for incandescent lamps than for CFLs, raising concerns with the underlying data as discussed below</w:t>
      </w:r>
      <w:r w:rsidR="003D6A8C">
        <w:t>.</w:t>
      </w:r>
    </w:p>
    <w:p w:rsidR="00587D03" w:rsidRDefault="00587D03" w:rsidP="00587D03">
      <w:pPr>
        <w:pStyle w:val="Caption"/>
        <w:keepNext/>
      </w:pPr>
      <w:bookmarkStart w:id="1" w:name="_Ref419541622"/>
      <w:r>
        <w:t xml:space="preserve">Table </w:t>
      </w:r>
      <w:fldSimple w:instr=" SEQ Table \* ARABIC ">
        <w:r w:rsidR="008D583C">
          <w:rPr>
            <w:noProof/>
          </w:rPr>
          <w:t>1</w:t>
        </w:r>
      </w:fldSimple>
      <w:bookmarkEnd w:id="1"/>
      <w:r>
        <w:t xml:space="preserve"> Residential CFL Hours of Use and Coincident Demand Factors</w:t>
      </w:r>
    </w:p>
    <w:p w:rsidR="004C7889" w:rsidRDefault="004C7889" w:rsidP="00C83091">
      <w:pPr>
        <w:spacing w:after="180"/>
        <w:jc w:val="center"/>
      </w:pPr>
      <w:r w:rsidRPr="004C7889">
        <w:rPr>
          <w:noProof/>
        </w:rPr>
        <w:drawing>
          <wp:inline distT="0" distB="0" distL="0" distR="0" wp14:anchorId="50D77ACB" wp14:editId="758EA3CC">
            <wp:extent cx="4730496" cy="287969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5966" cy="2901287"/>
                    </a:xfrm>
                    <a:prstGeom prst="rect">
                      <a:avLst/>
                    </a:prstGeom>
                    <a:noFill/>
                    <a:ln>
                      <a:noFill/>
                    </a:ln>
                  </pic:spPr>
                </pic:pic>
              </a:graphicData>
            </a:graphic>
          </wp:inline>
        </w:drawing>
      </w:r>
    </w:p>
    <w:p w:rsidR="004F19F3" w:rsidRDefault="004F19F3" w:rsidP="00563409">
      <w:pPr>
        <w:spacing w:after="180"/>
      </w:pPr>
      <w:r>
        <w:t>Lighting logger data collected on-site for the 2006-200</w:t>
      </w:r>
      <w:r w:rsidR="007F15C5">
        <w:t>8</w:t>
      </w:r>
      <w:r>
        <w:t xml:space="preserve"> Small Commercial Contract Group (</w:t>
      </w:r>
      <w:proofErr w:type="spellStart"/>
      <w:r>
        <w:t>SmallCom</w:t>
      </w:r>
      <w:proofErr w:type="spellEnd"/>
      <w:r>
        <w:t>)</w:t>
      </w:r>
      <w:r w:rsidR="007F15C5">
        <w:rPr>
          <w:rStyle w:val="FootnoteReference"/>
        </w:rPr>
        <w:footnoteReference w:id="6"/>
      </w:r>
      <w:r w:rsidR="007F15C5">
        <w:t xml:space="preserve"> and the 2010-2012 WO29</w:t>
      </w:r>
      <w:r w:rsidR="007F15C5">
        <w:rPr>
          <w:rStyle w:val="FootnoteReference"/>
        </w:rPr>
        <w:footnoteReference w:id="7"/>
      </w:r>
      <w:r w:rsidR="007F15C5">
        <w:t xml:space="preserve"> evaluations</w:t>
      </w:r>
      <w:r w:rsidR="00E55BE7">
        <w:t xml:space="preserve"> were combined with existing DEER data to update the non-residential CFL HOU and CDF values. This work was undertaken to first satisfy the need to update the ESPI uncertain measures but also incorporated into the DEER 2016 update. </w:t>
      </w:r>
      <w:r w:rsidR="009B5D8C">
        <w:fldChar w:fldCharType="begin"/>
      </w:r>
      <w:r w:rsidR="009B5D8C">
        <w:instrText xml:space="preserve"> REF _Ref419818552 \h </w:instrText>
      </w:r>
      <w:r w:rsidR="009B5D8C">
        <w:fldChar w:fldCharType="separate"/>
      </w:r>
      <w:r w:rsidR="009B5D8C">
        <w:t xml:space="preserve">Table </w:t>
      </w:r>
      <w:r w:rsidR="009B5D8C">
        <w:rPr>
          <w:noProof/>
        </w:rPr>
        <w:t>2</w:t>
      </w:r>
      <w:r w:rsidR="009B5D8C">
        <w:fldChar w:fldCharType="end"/>
      </w:r>
      <w:r w:rsidR="009B5D8C">
        <w:t xml:space="preserve"> contains a summary of the results of this on-site lighting logger data analysis for non-residential DEER building types. The values used in DEER2014 are compared to the values developed for use in DEER 2015-2016 for both HOU and CDF values. Details on the logger data</w:t>
      </w:r>
      <w:r w:rsidR="005204C3">
        <w:t xml:space="preserve"> and the assignments of sites, their space types and </w:t>
      </w:r>
      <w:r w:rsidR="005204C3">
        <w:lastRenderedPageBreak/>
        <w:t>loggers to the DEER building types and their spaces can be found in the DEER 2016 supporting data for lighting profiles</w:t>
      </w:r>
      <w:r w:rsidR="005204C3">
        <w:rPr>
          <w:rStyle w:val="FootnoteReference"/>
        </w:rPr>
        <w:footnoteReference w:id="8"/>
      </w:r>
      <w:r w:rsidR="005204C3">
        <w:t>.</w:t>
      </w:r>
    </w:p>
    <w:p w:rsidR="009B5D8C" w:rsidRDefault="009B5D8C" w:rsidP="009B5D8C">
      <w:pPr>
        <w:pStyle w:val="Caption"/>
        <w:keepNext/>
      </w:pPr>
      <w:bookmarkStart w:id="2" w:name="_Ref419818552"/>
      <w:r>
        <w:t xml:space="preserve">Table </w:t>
      </w:r>
      <w:fldSimple w:instr=" SEQ Table \* ARABIC ">
        <w:r w:rsidR="008D583C">
          <w:rPr>
            <w:noProof/>
          </w:rPr>
          <w:t>2</w:t>
        </w:r>
      </w:fldSimple>
      <w:bookmarkEnd w:id="2"/>
      <w:r>
        <w:t xml:space="preserve"> - Summary of Non-Residential CFL Hours-of-Use and Coincident Demand Factors</w:t>
      </w:r>
    </w:p>
    <w:p w:rsidR="004F19F3" w:rsidRDefault="009B5D8C" w:rsidP="00665FF8">
      <w:pPr>
        <w:spacing w:after="180"/>
        <w:jc w:val="center"/>
      </w:pPr>
      <w:r w:rsidRPr="009B5D8C">
        <w:rPr>
          <w:noProof/>
        </w:rPr>
        <w:drawing>
          <wp:inline distT="0" distB="0" distL="0" distR="0">
            <wp:extent cx="5023104" cy="4213832"/>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1672" cy="4254575"/>
                    </a:xfrm>
                    <a:prstGeom prst="rect">
                      <a:avLst/>
                    </a:prstGeom>
                    <a:noFill/>
                    <a:ln>
                      <a:noFill/>
                    </a:ln>
                  </pic:spPr>
                </pic:pic>
              </a:graphicData>
            </a:graphic>
          </wp:inline>
        </w:drawing>
      </w:r>
    </w:p>
    <w:p w:rsidR="00823BAA" w:rsidRDefault="00BF0C98" w:rsidP="00563409">
      <w:pPr>
        <w:spacing w:after="180"/>
      </w:pPr>
      <w:r>
        <w:t>Energy simulation of exterior lighting is not needed to estimate savings of exterior lighting measures since there are no HVAC interactive effects. However, annual</w:t>
      </w:r>
      <w:r w:rsidR="00DE5A25">
        <w:t xml:space="preserve"> HOU and CDF values should be</w:t>
      </w:r>
      <w:r>
        <w:t xml:space="preserve">, whenever possible, determined from lighting usage profiles that have been developed from field monitored data. </w:t>
      </w:r>
      <w:fldSimple w:instr=" REF _Ref412215365 ">
        <w:r w:rsidR="00823BAA">
          <w:t xml:space="preserve">Figure </w:t>
        </w:r>
        <w:r w:rsidR="00823BAA">
          <w:rPr>
            <w:noProof/>
          </w:rPr>
          <w:t>1</w:t>
        </w:r>
      </w:fldSimple>
      <w:r w:rsidR="005D12E4">
        <w:t xml:space="preserve"> i</w:t>
      </w:r>
      <w:r w:rsidR="00C02112">
        <w:t>ncludes the estimated profiles for exterior CFL and incandescent lamps</w:t>
      </w:r>
      <w:r w:rsidR="00276D50">
        <w:t>, based solely on the field lighting logger data from WO28</w:t>
      </w:r>
      <w:r w:rsidR="00C02112">
        <w:t xml:space="preserve">. </w:t>
      </w:r>
      <w:r w:rsidR="005D48AA">
        <w:t xml:space="preserve">The exterior </w:t>
      </w:r>
      <w:r w:rsidR="00276D50">
        <w:t xml:space="preserve">logger data results </w:t>
      </w:r>
      <w:r w:rsidR="005D48AA">
        <w:t xml:space="preserve">present a particular problem in that they seem </w:t>
      </w:r>
      <w:r w:rsidR="006F59B8">
        <w:t xml:space="preserve">to </w:t>
      </w:r>
      <w:r w:rsidR="005D48AA">
        <w:t>indicate unexpected operation</w:t>
      </w:r>
      <w:r w:rsidR="00823BAA">
        <w:t xml:space="preserve"> during daylight hours</w:t>
      </w:r>
      <w:r w:rsidR="005D48AA">
        <w:t xml:space="preserve">. The CFL profiles show decreasing “on” fractions during daylight hours, but also show a noticeable “bump” in usage during daylight hours. For incandescent lamps, the primary usage </w:t>
      </w:r>
      <w:r w:rsidR="00276D50">
        <w:t xml:space="preserve">occurs </w:t>
      </w:r>
      <w:r w:rsidR="005D48AA">
        <w:t xml:space="preserve">during daylight hours. The </w:t>
      </w:r>
      <w:proofErr w:type="spellStart"/>
      <w:r w:rsidR="006F59B8">
        <w:t>ex ante</w:t>
      </w:r>
      <w:proofErr w:type="spellEnd"/>
      <w:r w:rsidR="005D48AA">
        <w:t xml:space="preserve"> team </w:t>
      </w:r>
      <w:r w:rsidR="00714BF2">
        <w:t>concluded</w:t>
      </w:r>
      <w:r w:rsidR="005D48AA">
        <w:t xml:space="preserve"> that the lighting loggers may have been </w:t>
      </w:r>
      <w:r w:rsidR="00714BF2">
        <w:t>sensing</w:t>
      </w:r>
      <w:r w:rsidR="005D48AA">
        <w:t xml:space="preserve"> sunlight </w:t>
      </w:r>
      <w:r w:rsidR="00714BF2">
        <w:t>rather than light from the lamp intended to be metered</w:t>
      </w:r>
      <w:r w:rsidR="005D48AA">
        <w:t xml:space="preserve">. </w:t>
      </w:r>
      <w:r w:rsidR="00714BF2">
        <w:t>For this reason t</w:t>
      </w:r>
      <w:r w:rsidR="005D48AA">
        <w:t xml:space="preserve">he </w:t>
      </w:r>
      <w:proofErr w:type="spellStart"/>
      <w:r w:rsidR="006F59B8">
        <w:t>ex ante</w:t>
      </w:r>
      <w:proofErr w:type="spellEnd"/>
      <w:r w:rsidR="005D48AA">
        <w:t xml:space="preserve"> team has been </w:t>
      </w:r>
      <w:r w:rsidR="00714BF2">
        <w:t>previously</w:t>
      </w:r>
      <w:r w:rsidR="005D48AA">
        <w:t xml:space="preserve"> </w:t>
      </w:r>
      <w:r w:rsidR="00714BF2">
        <w:t xml:space="preserve">not </w:t>
      </w:r>
      <w:r w:rsidR="005D48AA">
        <w:t>publish</w:t>
      </w:r>
      <w:r w:rsidR="00714BF2">
        <w:t xml:space="preserve">ed </w:t>
      </w:r>
      <w:r w:rsidR="005D48AA">
        <w:t>the exterior profiles. Instead, only the annual HOU values have been published and the CDF has always been published as zero, which assumes no exterior lights are on during daylight hours.</w:t>
      </w:r>
    </w:p>
    <w:p w:rsidR="005D12E4" w:rsidRDefault="005D12E4" w:rsidP="00563409">
      <w:pPr>
        <w:pStyle w:val="Caption"/>
        <w:keepNext/>
      </w:pPr>
      <w:bookmarkStart w:id="3" w:name="_Ref412215365"/>
      <w:r>
        <w:lastRenderedPageBreak/>
        <w:t xml:space="preserve">Figure </w:t>
      </w:r>
      <w:r w:rsidR="0000082E">
        <w:fldChar w:fldCharType="begin"/>
      </w:r>
      <w:r w:rsidR="0000082E">
        <w:instrText xml:space="preserve"> SEQ Figure \* ARABIC </w:instrText>
      </w:r>
      <w:r w:rsidR="0000082E">
        <w:fldChar w:fldCharType="separate"/>
      </w:r>
      <w:r w:rsidR="00644CF6">
        <w:rPr>
          <w:noProof/>
        </w:rPr>
        <w:t>1</w:t>
      </w:r>
      <w:r w:rsidR="0000082E">
        <w:rPr>
          <w:noProof/>
        </w:rPr>
        <w:fldChar w:fldCharType="end"/>
      </w:r>
      <w:bookmarkEnd w:id="3"/>
      <w:r>
        <w:t xml:space="preserve"> - Exterior Usage Profiles by Lamp Type and Year</w:t>
      </w:r>
      <w:r w:rsidR="00276D50">
        <w:t xml:space="preserve"> Developed from Field Lighting Logger Data</w:t>
      </w:r>
    </w:p>
    <w:p w:rsidR="005D48AA" w:rsidRDefault="005D48AA" w:rsidP="00C83091">
      <w:pPr>
        <w:spacing w:after="180"/>
        <w:jc w:val="center"/>
      </w:pPr>
      <w:r>
        <w:rPr>
          <w:noProof/>
        </w:rPr>
        <w:drawing>
          <wp:inline distT="0" distB="0" distL="0" distR="0" wp14:anchorId="56F20EEF" wp14:editId="1F33CC34">
            <wp:extent cx="5276088" cy="3163824"/>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76088" cy="3163824"/>
                    </a:xfrm>
                    <a:prstGeom prst="rect">
                      <a:avLst/>
                    </a:prstGeom>
                    <a:noFill/>
                    <a:ln>
                      <a:noFill/>
                    </a:ln>
                  </pic:spPr>
                </pic:pic>
              </a:graphicData>
            </a:graphic>
          </wp:inline>
        </w:drawing>
      </w:r>
    </w:p>
    <w:p w:rsidR="00993058" w:rsidRPr="00563409" w:rsidRDefault="00993058" w:rsidP="00563409">
      <w:pPr>
        <w:spacing w:after="180"/>
      </w:pPr>
      <w:r w:rsidRPr="00563409">
        <w:t xml:space="preserve">To account for the likely false readings of natural light as artificial light, the </w:t>
      </w:r>
      <w:proofErr w:type="spellStart"/>
      <w:r w:rsidRPr="00563409">
        <w:t>ex ante</w:t>
      </w:r>
      <w:proofErr w:type="spellEnd"/>
      <w:r w:rsidRPr="00563409">
        <w:t xml:space="preserve"> team adjusted each exterior CFL profile so that the lowest fraction on during daylight hours was equal to 10 percent of the highest fraction on during the 24 hour period. An arithmetic “smoothing” relationship was applied so that the profile gradually decreased after sunrise and increased after sunset. The resulting typical annual profiles are shown in </w:t>
      </w:r>
      <w:r w:rsidR="009B5D8C">
        <w:fldChar w:fldCharType="begin"/>
      </w:r>
      <w:r w:rsidR="009B5D8C">
        <w:instrText xml:space="preserve"> REF _Ref419818220 \h </w:instrText>
      </w:r>
      <w:r w:rsidR="009B5D8C">
        <w:fldChar w:fldCharType="separate"/>
      </w:r>
      <w:r w:rsidR="009B5D8C">
        <w:t xml:space="preserve">Figure </w:t>
      </w:r>
      <w:r w:rsidR="009B5D8C">
        <w:rPr>
          <w:noProof/>
        </w:rPr>
        <w:t>2</w:t>
      </w:r>
      <w:r w:rsidR="009B5D8C">
        <w:fldChar w:fldCharType="end"/>
      </w:r>
      <w:r w:rsidR="009B5D8C">
        <w:t xml:space="preserve"> </w:t>
      </w:r>
      <w:r w:rsidRPr="00563409">
        <w:t xml:space="preserve">and the overall results for HOU and CDF values are shown in </w:t>
      </w:r>
      <w:fldSimple w:instr=" REF _Ref419545538 ">
        <w:r w:rsidR="00153118">
          <w:t xml:space="preserve">Table </w:t>
        </w:r>
        <w:r w:rsidR="00153118">
          <w:rPr>
            <w:noProof/>
          </w:rPr>
          <w:t>2</w:t>
        </w:r>
      </w:fldSimple>
      <w:r w:rsidRPr="00563409">
        <w:t>.</w:t>
      </w:r>
    </w:p>
    <w:p w:rsidR="00325E7B" w:rsidRPr="00325E7B" w:rsidRDefault="00325E7B" w:rsidP="00325E7B">
      <w:pPr>
        <w:pStyle w:val="ListParagraph"/>
        <w:numPr>
          <w:ilvl w:val="0"/>
          <w:numId w:val="17"/>
        </w:numPr>
        <w:spacing w:after="180"/>
        <w:contextualSpacing w:val="0"/>
        <w:rPr>
          <w:b/>
          <w:vanish/>
        </w:rPr>
      </w:pPr>
    </w:p>
    <w:p w:rsidR="00325E7B" w:rsidRPr="00325E7B" w:rsidRDefault="00325E7B" w:rsidP="00325E7B">
      <w:pPr>
        <w:pStyle w:val="ListParagraph"/>
        <w:numPr>
          <w:ilvl w:val="0"/>
          <w:numId w:val="17"/>
        </w:numPr>
        <w:spacing w:after="180"/>
        <w:contextualSpacing w:val="0"/>
        <w:rPr>
          <w:b/>
          <w:vanish/>
        </w:rPr>
      </w:pPr>
    </w:p>
    <w:p w:rsidR="00325E7B" w:rsidRPr="00325E7B" w:rsidRDefault="00325E7B" w:rsidP="00325E7B">
      <w:pPr>
        <w:pStyle w:val="ListParagraph"/>
        <w:numPr>
          <w:ilvl w:val="0"/>
          <w:numId w:val="17"/>
        </w:numPr>
        <w:spacing w:after="180"/>
        <w:contextualSpacing w:val="0"/>
        <w:rPr>
          <w:b/>
          <w:vanish/>
        </w:rPr>
      </w:pPr>
    </w:p>
    <w:p w:rsidR="00325E7B" w:rsidRPr="00325E7B" w:rsidRDefault="00325E7B" w:rsidP="00325E7B">
      <w:pPr>
        <w:pStyle w:val="ListParagraph"/>
        <w:numPr>
          <w:ilvl w:val="1"/>
          <w:numId w:val="17"/>
        </w:numPr>
        <w:spacing w:after="180"/>
        <w:contextualSpacing w:val="0"/>
        <w:rPr>
          <w:b/>
          <w:vanish/>
        </w:rPr>
      </w:pPr>
    </w:p>
    <w:p w:rsidR="00325E7B" w:rsidRPr="00325E7B" w:rsidRDefault="00325E7B" w:rsidP="00325E7B">
      <w:pPr>
        <w:pStyle w:val="ListParagraph"/>
        <w:numPr>
          <w:ilvl w:val="2"/>
          <w:numId w:val="17"/>
        </w:numPr>
        <w:spacing w:after="180"/>
        <w:contextualSpacing w:val="0"/>
        <w:rPr>
          <w:b/>
          <w:vanish/>
        </w:rPr>
      </w:pPr>
    </w:p>
    <w:p w:rsidR="00325E7B" w:rsidRPr="00325E7B" w:rsidRDefault="00325E7B" w:rsidP="00325E7B">
      <w:pPr>
        <w:pStyle w:val="ListParagraph"/>
        <w:numPr>
          <w:ilvl w:val="2"/>
          <w:numId w:val="17"/>
        </w:numPr>
        <w:spacing w:after="180"/>
        <w:contextualSpacing w:val="0"/>
        <w:rPr>
          <w:b/>
          <w:vanish/>
        </w:rPr>
      </w:pPr>
    </w:p>
    <w:p w:rsidR="009B5D8C" w:rsidRDefault="009B5D8C" w:rsidP="009B5D8C">
      <w:pPr>
        <w:pStyle w:val="Caption"/>
        <w:keepNext/>
      </w:pPr>
      <w:bookmarkStart w:id="4" w:name="_Ref419818220"/>
      <w:r>
        <w:t xml:space="preserve">Figure </w:t>
      </w:r>
      <w:r w:rsidR="0000082E">
        <w:fldChar w:fldCharType="begin"/>
      </w:r>
      <w:r w:rsidR="0000082E">
        <w:instrText xml:space="preserve"> SEQ Figure \* ARABIC </w:instrText>
      </w:r>
      <w:r w:rsidR="0000082E">
        <w:fldChar w:fldCharType="separate"/>
      </w:r>
      <w:r w:rsidR="00644CF6">
        <w:rPr>
          <w:noProof/>
        </w:rPr>
        <w:t>2</w:t>
      </w:r>
      <w:r w:rsidR="0000082E">
        <w:rPr>
          <w:noProof/>
        </w:rPr>
        <w:fldChar w:fldCharType="end"/>
      </w:r>
      <w:bookmarkEnd w:id="4"/>
      <w:r>
        <w:t xml:space="preserve">- </w:t>
      </w:r>
      <w:r w:rsidRPr="00940B72">
        <w:t>Adjusted Residential Exterior CFL Profiles</w:t>
      </w:r>
    </w:p>
    <w:p w:rsidR="00E55BE7" w:rsidRDefault="00E55BE7" w:rsidP="00E55BE7">
      <w:pPr>
        <w:keepNext/>
        <w:spacing w:after="180"/>
        <w:jc w:val="center"/>
      </w:pPr>
      <w:r>
        <w:rPr>
          <w:b/>
          <w:noProof/>
        </w:rPr>
        <w:drawing>
          <wp:inline distT="0" distB="0" distL="0" distR="0" wp14:anchorId="212DB784" wp14:editId="71E60783">
            <wp:extent cx="5271498" cy="3054096"/>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1016" cy="3088578"/>
                    </a:xfrm>
                    <a:prstGeom prst="rect">
                      <a:avLst/>
                    </a:prstGeom>
                    <a:noFill/>
                  </pic:spPr>
                </pic:pic>
              </a:graphicData>
            </a:graphic>
          </wp:inline>
        </w:drawing>
      </w:r>
    </w:p>
    <w:p w:rsidR="00153118" w:rsidRDefault="00153118" w:rsidP="00153118">
      <w:pPr>
        <w:pStyle w:val="Caption"/>
        <w:keepNext/>
      </w:pPr>
      <w:bookmarkStart w:id="5" w:name="_Ref419545538"/>
      <w:r>
        <w:t xml:space="preserve">Table </w:t>
      </w:r>
      <w:fldSimple w:instr=" SEQ Table \* ARABIC ">
        <w:r w:rsidR="008D583C">
          <w:rPr>
            <w:noProof/>
          </w:rPr>
          <w:t>3</w:t>
        </w:r>
      </w:fldSimple>
      <w:bookmarkEnd w:id="5"/>
      <w:r>
        <w:t xml:space="preserve">- </w:t>
      </w:r>
      <w:r w:rsidR="004F19F3">
        <w:t>2015-</w:t>
      </w:r>
      <w:r>
        <w:t>2016 vs 2011 Residential Exterior CFL Hours of Use and Coincident Demand Factors</w:t>
      </w:r>
    </w:p>
    <w:tbl>
      <w:tblPr>
        <w:tblW w:w="5280" w:type="dxa"/>
        <w:jc w:val="center"/>
        <w:tblLook w:val="04A0" w:firstRow="1" w:lastRow="0" w:firstColumn="1" w:lastColumn="0" w:noHBand="0" w:noVBand="1"/>
      </w:tblPr>
      <w:tblGrid>
        <w:gridCol w:w="663"/>
        <w:gridCol w:w="854"/>
        <w:gridCol w:w="1135"/>
        <w:gridCol w:w="1135"/>
        <w:gridCol w:w="1703"/>
      </w:tblGrid>
      <w:tr w:rsidR="004F19F3" w:rsidRPr="004F19F3" w:rsidTr="004F19F3">
        <w:trPr>
          <w:trHeight w:val="300"/>
          <w:jc w:val="center"/>
        </w:trPr>
        <w:tc>
          <w:tcPr>
            <w:tcW w:w="5280" w:type="dxa"/>
            <w:gridSpan w:val="5"/>
            <w:tcBorders>
              <w:top w:val="single" w:sz="4" w:space="0" w:color="auto"/>
              <w:left w:val="single" w:sz="4" w:space="0" w:color="auto"/>
              <w:bottom w:val="single" w:sz="4" w:space="0" w:color="auto"/>
              <w:right w:val="single" w:sz="4" w:space="0" w:color="000000"/>
            </w:tcBorders>
            <w:shd w:val="clear" w:color="000000" w:fill="DAEEF3"/>
            <w:vAlign w:val="bottom"/>
            <w:hideMark/>
          </w:tcPr>
          <w:p w:rsidR="004F19F3" w:rsidRPr="004F19F3" w:rsidRDefault="004F19F3" w:rsidP="004F19F3">
            <w:pPr>
              <w:spacing w:after="0" w:line="240" w:lineRule="auto"/>
              <w:jc w:val="center"/>
              <w:rPr>
                <w:rFonts w:ascii="Calibri" w:eastAsia="Times New Roman" w:hAnsi="Calibri" w:cs="Times New Roman"/>
                <w:b/>
                <w:bCs/>
                <w:color w:val="000000"/>
              </w:rPr>
            </w:pPr>
            <w:r w:rsidRPr="004F19F3">
              <w:rPr>
                <w:rFonts w:ascii="Calibri" w:eastAsia="Times New Roman" w:hAnsi="Calibri" w:cs="Times New Roman"/>
                <w:b/>
                <w:bCs/>
                <w:color w:val="000000"/>
              </w:rPr>
              <w:t>EXTERIOR CFL 2015-2015 DEER ANALYSIS</w:t>
            </w:r>
          </w:p>
        </w:tc>
      </w:tr>
      <w:tr w:rsidR="004F19F3" w:rsidRPr="004F19F3" w:rsidTr="004F19F3">
        <w:trPr>
          <w:trHeight w:val="300"/>
          <w:jc w:val="center"/>
        </w:trPr>
        <w:tc>
          <w:tcPr>
            <w:tcW w:w="541" w:type="dxa"/>
            <w:tcBorders>
              <w:top w:val="single" w:sz="4" w:space="0" w:color="auto"/>
              <w:left w:val="single" w:sz="4" w:space="0" w:color="auto"/>
              <w:bottom w:val="nil"/>
              <w:right w:val="single" w:sz="4" w:space="0" w:color="auto"/>
            </w:tcBorders>
            <w:shd w:val="clear" w:color="000000" w:fill="D9D9D9"/>
            <w:noWrap/>
            <w:vAlign w:val="bottom"/>
            <w:hideMark/>
          </w:tcPr>
          <w:p w:rsidR="004F19F3" w:rsidRPr="004F19F3" w:rsidRDefault="004F19F3" w:rsidP="004F19F3">
            <w:pPr>
              <w:spacing w:after="0" w:line="240" w:lineRule="auto"/>
              <w:jc w:val="center"/>
              <w:rPr>
                <w:rFonts w:ascii="Calibri" w:eastAsia="Times New Roman" w:hAnsi="Calibri" w:cs="Times New Roman"/>
                <w:b/>
                <w:bCs/>
                <w:color w:val="000000"/>
              </w:rPr>
            </w:pPr>
            <w:r w:rsidRPr="004F19F3">
              <w:rPr>
                <w:rFonts w:ascii="Calibri" w:eastAsia="Times New Roman" w:hAnsi="Calibri" w:cs="Times New Roman"/>
                <w:b/>
                <w:bCs/>
                <w:color w:val="000000"/>
              </w:rPr>
              <w:t> </w:t>
            </w:r>
          </w:p>
        </w:tc>
        <w:tc>
          <w:tcPr>
            <w:tcW w:w="766" w:type="dxa"/>
            <w:tcBorders>
              <w:top w:val="single" w:sz="4" w:space="0" w:color="auto"/>
              <w:left w:val="nil"/>
              <w:bottom w:val="nil"/>
              <w:right w:val="single" w:sz="4" w:space="0" w:color="auto"/>
            </w:tcBorders>
            <w:shd w:val="clear" w:color="000000" w:fill="D9D9D9"/>
            <w:noWrap/>
            <w:vAlign w:val="bottom"/>
            <w:hideMark/>
          </w:tcPr>
          <w:p w:rsidR="004F19F3" w:rsidRPr="004F19F3" w:rsidRDefault="004F19F3" w:rsidP="004F19F3">
            <w:pPr>
              <w:spacing w:after="0" w:line="240" w:lineRule="auto"/>
              <w:jc w:val="center"/>
              <w:rPr>
                <w:rFonts w:ascii="Calibri" w:eastAsia="Times New Roman" w:hAnsi="Calibri" w:cs="Times New Roman"/>
                <w:b/>
                <w:bCs/>
                <w:color w:val="000000"/>
              </w:rPr>
            </w:pPr>
            <w:r w:rsidRPr="004F19F3">
              <w:rPr>
                <w:rFonts w:ascii="Calibri" w:eastAsia="Times New Roman" w:hAnsi="Calibri" w:cs="Times New Roman"/>
                <w:b/>
                <w:bCs/>
                <w:color w:val="000000"/>
              </w:rPr>
              <w:t> </w:t>
            </w:r>
          </w:p>
        </w:tc>
        <w:tc>
          <w:tcPr>
            <w:tcW w:w="3973" w:type="dxa"/>
            <w:gridSpan w:val="3"/>
            <w:tcBorders>
              <w:top w:val="single" w:sz="4" w:space="0" w:color="auto"/>
              <w:left w:val="single" w:sz="4" w:space="0" w:color="auto"/>
              <w:bottom w:val="single" w:sz="4" w:space="0" w:color="auto"/>
              <w:right w:val="single" w:sz="4" w:space="0" w:color="000000"/>
            </w:tcBorders>
            <w:shd w:val="clear" w:color="000000" w:fill="B7DEE8"/>
            <w:noWrap/>
            <w:vAlign w:val="bottom"/>
            <w:hideMark/>
          </w:tcPr>
          <w:p w:rsidR="004F19F3" w:rsidRPr="004F19F3" w:rsidRDefault="004F19F3" w:rsidP="004F19F3">
            <w:pPr>
              <w:spacing w:after="0" w:line="240" w:lineRule="auto"/>
              <w:jc w:val="center"/>
              <w:rPr>
                <w:rFonts w:ascii="Calibri" w:eastAsia="Times New Roman" w:hAnsi="Calibri" w:cs="Times New Roman"/>
                <w:b/>
                <w:bCs/>
                <w:color w:val="000000"/>
              </w:rPr>
            </w:pPr>
            <w:r w:rsidRPr="004F19F3">
              <w:rPr>
                <w:rFonts w:ascii="Calibri" w:eastAsia="Times New Roman" w:hAnsi="Calibri" w:cs="Times New Roman"/>
                <w:b/>
                <w:bCs/>
                <w:color w:val="000000"/>
              </w:rPr>
              <w:t>CFL</w:t>
            </w:r>
          </w:p>
        </w:tc>
      </w:tr>
      <w:tr w:rsidR="004F19F3" w:rsidRPr="004F19F3" w:rsidTr="004F19F3">
        <w:trPr>
          <w:trHeight w:val="288"/>
          <w:jc w:val="center"/>
        </w:trPr>
        <w:tc>
          <w:tcPr>
            <w:tcW w:w="541" w:type="dxa"/>
            <w:tcBorders>
              <w:top w:val="nil"/>
              <w:left w:val="single" w:sz="4" w:space="0" w:color="auto"/>
              <w:bottom w:val="single" w:sz="4" w:space="0" w:color="auto"/>
              <w:right w:val="single" w:sz="4" w:space="0" w:color="auto"/>
            </w:tcBorders>
            <w:shd w:val="clear" w:color="000000" w:fill="D9D9D9"/>
            <w:noWrap/>
            <w:vAlign w:val="bottom"/>
            <w:hideMark/>
          </w:tcPr>
          <w:p w:rsidR="004F19F3" w:rsidRPr="004F19F3" w:rsidRDefault="004F19F3" w:rsidP="004F19F3">
            <w:pPr>
              <w:spacing w:after="0" w:line="240" w:lineRule="auto"/>
              <w:jc w:val="center"/>
              <w:rPr>
                <w:rFonts w:ascii="Calibri" w:eastAsia="Times New Roman" w:hAnsi="Calibri" w:cs="Times New Roman"/>
                <w:b/>
                <w:bCs/>
                <w:color w:val="000000"/>
              </w:rPr>
            </w:pPr>
            <w:r w:rsidRPr="004F19F3">
              <w:rPr>
                <w:rFonts w:ascii="Calibri" w:eastAsia="Times New Roman" w:hAnsi="Calibri" w:cs="Times New Roman"/>
                <w:b/>
                <w:bCs/>
                <w:color w:val="000000"/>
              </w:rPr>
              <w:t>Year</w:t>
            </w:r>
          </w:p>
        </w:tc>
        <w:tc>
          <w:tcPr>
            <w:tcW w:w="766" w:type="dxa"/>
            <w:tcBorders>
              <w:top w:val="nil"/>
              <w:left w:val="nil"/>
              <w:bottom w:val="single" w:sz="4" w:space="0" w:color="auto"/>
              <w:right w:val="single" w:sz="4" w:space="0" w:color="auto"/>
            </w:tcBorders>
            <w:shd w:val="clear" w:color="000000" w:fill="D9D9D9"/>
            <w:noWrap/>
            <w:vAlign w:val="bottom"/>
            <w:hideMark/>
          </w:tcPr>
          <w:p w:rsidR="004F19F3" w:rsidRPr="004F19F3" w:rsidRDefault="004F19F3" w:rsidP="004F19F3">
            <w:pPr>
              <w:spacing w:after="0" w:line="240" w:lineRule="auto"/>
              <w:jc w:val="center"/>
              <w:rPr>
                <w:rFonts w:ascii="Calibri" w:eastAsia="Times New Roman" w:hAnsi="Calibri" w:cs="Times New Roman"/>
                <w:b/>
                <w:bCs/>
                <w:color w:val="000000"/>
              </w:rPr>
            </w:pPr>
            <w:r w:rsidRPr="004F19F3">
              <w:rPr>
                <w:rFonts w:ascii="Calibri" w:eastAsia="Times New Roman" w:hAnsi="Calibri" w:cs="Times New Roman"/>
                <w:b/>
                <w:bCs/>
                <w:color w:val="000000"/>
              </w:rPr>
              <w:t>IOU</w:t>
            </w:r>
          </w:p>
        </w:tc>
        <w:tc>
          <w:tcPr>
            <w:tcW w:w="2270" w:type="dxa"/>
            <w:gridSpan w:val="2"/>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4F19F3" w:rsidRPr="004F19F3" w:rsidRDefault="004F19F3" w:rsidP="004F19F3">
            <w:pPr>
              <w:spacing w:after="0" w:line="240" w:lineRule="auto"/>
              <w:jc w:val="center"/>
              <w:rPr>
                <w:rFonts w:ascii="Calibri" w:eastAsia="Times New Roman" w:hAnsi="Calibri" w:cs="Times New Roman"/>
                <w:b/>
                <w:bCs/>
                <w:color w:val="000000"/>
              </w:rPr>
            </w:pPr>
            <w:r w:rsidRPr="004F19F3">
              <w:rPr>
                <w:rFonts w:ascii="Calibri" w:eastAsia="Times New Roman" w:hAnsi="Calibri" w:cs="Times New Roman"/>
                <w:b/>
                <w:bCs/>
                <w:color w:val="000000"/>
              </w:rPr>
              <w:t>Hours of Use</w:t>
            </w:r>
          </w:p>
        </w:tc>
        <w:tc>
          <w:tcPr>
            <w:tcW w:w="1703" w:type="dxa"/>
            <w:tcBorders>
              <w:top w:val="nil"/>
              <w:left w:val="nil"/>
              <w:bottom w:val="single" w:sz="4" w:space="0" w:color="auto"/>
              <w:right w:val="single" w:sz="4" w:space="0" w:color="auto"/>
            </w:tcBorders>
            <w:shd w:val="clear" w:color="000000" w:fill="D9D9D9"/>
            <w:noWrap/>
            <w:vAlign w:val="bottom"/>
            <w:hideMark/>
          </w:tcPr>
          <w:p w:rsidR="004F19F3" w:rsidRPr="004F19F3" w:rsidRDefault="004F19F3" w:rsidP="004F19F3">
            <w:pPr>
              <w:spacing w:after="0" w:line="240" w:lineRule="auto"/>
              <w:jc w:val="center"/>
              <w:rPr>
                <w:rFonts w:ascii="Calibri" w:eastAsia="Times New Roman" w:hAnsi="Calibri" w:cs="Times New Roman"/>
                <w:b/>
                <w:bCs/>
                <w:color w:val="000000"/>
              </w:rPr>
            </w:pPr>
            <w:r w:rsidRPr="004F19F3">
              <w:rPr>
                <w:rFonts w:ascii="Calibri" w:eastAsia="Times New Roman" w:hAnsi="Calibri" w:cs="Times New Roman"/>
                <w:b/>
                <w:bCs/>
                <w:color w:val="000000"/>
              </w:rPr>
              <w:t>CDF</w:t>
            </w:r>
          </w:p>
        </w:tc>
      </w:tr>
      <w:tr w:rsidR="004F19F3" w:rsidRPr="004F19F3" w:rsidTr="004F19F3">
        <w:trPr>
          <w:trHeight w:val="288"/>
          <w:jc w:val="center"/>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 </w:t>
            </w:r>
          </w:p>
        </w:tc>
        <w:tc>
          <w:tcPr>
            <w:tcW w:w="766" w:type="dxa"/>
            <w:tcBorders>
              <w:top w:val="single" w:sz="4" w:space="0" w:color="auto"/>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 </w:t>
            </w:r>
          </w:p>
        </w:tc>
        <w:tc>
          <w:tcPr>
            <w:tcW w:w="1135" w:type="dxa"/>
            <w:tcBorders>
              <w:top w:val="nil"/>
              <w:left w:val="nil"/>
              <w:bottom w:val="single" w:sz="4" w:space="0" w:color="auto"/>
              <w:right w:val="single" w:sz="4" w:space="0" w:color="auto"/>
            </w:tcBorders>
            <w:shd w:val="clear" w:color="auto" w:fill="auto"/>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Annual</w:t>
            </w:r>
          </w:p>
        </w:tc>
        <w:tc>
          <w:tcPr>
            <w:tcW w:w="1135" w:type="dxa"/>
            <w:tcBorders>
              <w:top w:val="nil"/>
              <w:left w:val="nil"/>
              <w:bottom w:val="single" w:sz="4" w:space="0" w:color="auto"/>
              <w:right w:val="single" w:sz="4" w:space="0" w:color="auto"/>
            </w:tcBorders>
            <w:shd w:val="clear" w:color="auto" w:fill="auto"/>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Daily</w:t>
            </w:r>
          </w:p>
        </w:tc>
        <w:tc>
          <w:tcPr>
            <w:tcW w:w="1703" w:type="dxa"/>
            <w:tcBorders>
              <w:top w:val="nil"/>
              <w:left w:val="nil"/>
              <w:bottom w:val="single" w:sz="4" w:space="0" w:color="auto"/>
              <w:right w:val="single" w:sz="4" w:space="0" w:color="auto"/>
            </w:tcBorders>
            <w:shd w:val="clear" w:color="auto" w:fill="auto"/>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All</w:t>
            </w:r>
          </w:p>
        </w:tc>
      </w:tr>
      <w:tr w:rsidR="004F19F3" w:rsidRPr="004F19F3" w:rsidTr="004F19F3">
        <w:trPr>
          <w:trHeight w:val="288"/>
          <w:jc w:val="center"/>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2016</w:t>
            </w:r>
          </w:p>
        </w:tc>
        <w:tc>
          <w:tcPr>
            <w:tcW w:w="766"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SCE</w:t>
            </w:r>
          </w:p>
        </w:tc>
        <w:tc>
          <w:tcPr>
            <w:tcW w:w="1135"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988</w:t>
            </w:r>
          </w:p>
        </w:tc>
        <w:tc>
          <w:tcPr>
            <w:tcW w:w="1135"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2.71</w:t>
            </w:r>
          </w:p>
        </w:tc>
        <w:tc>
          <w:tcPr>
            <w:tcW w:w="1703"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0.022</w:t>
            </w:r>
          </w:p>
        </w:tc>
      </w:tr>
      <w:tr w:rsidR="004F19F3" w:rsidRPr="004F19F3" w:rsidTr="004F19F3">
        <w:trPr>
          <w:trHeight w:val="288"/>
          <w:jc w:val="center"/>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2016</w:t>
            </w:r>
          </w:p>
        </w:tc>
        <w:tc>
          <w:tcPr>
            <w:tcW w:w="766"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SDG&amp;E</w:t>
            </w:r>
          </w:p>
        </w:tc>
        <w:tc>
          <w:tcPr>
            <w:tcW w:w="1135"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882</w:t>
            </w:r>
          </w:p>
        </w:tc>
        <w:tc>
          <w:tcPr>
            <w:tcW w:w="1135"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2.42</w:t>
            </w:r>
          </w:p>
        </w:tc>
        <w:tc>
          <w:tcPr>
            <w:tcW w:w="1703"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0.020</w:t>
            </w:r>
          </w:p>
        </w:tc>
      </w:tr>
      <w:tr w:rsidR="004F19F3" w:rsidRPr="004F19F3" w:rsidTr="004F19F3">
        <w:trPr>
          <w:trHeight w:val="288"/>
          <w:jc w:val="center"/>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2016</w:t>
            </w:r>
          </w:p>
        </w:tc>
        <w:tc>
          <w:tcPr>
            <w:tcW w:w="766"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PG&amp;E</w:t>
            </w:r>
          </w:p>
        </w:tc>
        <w:tc>
          <w:tcPr>
            <w:tcW w:w="1135"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901</w:t>
            </w:r>
          </w:p>
        </w:tc>
        <w:tc>
          <w:tcPr>
            <w:tcW w:w="1135"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2.47</w:t>
            </w:r>
          </w:p>
        </w:tc>
        <w:tc>
          <w:tcPr>
            <w:tcW w:w="1703"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0.020</w:t>
            </w:r>
          </w:p>
        </w:tc>
      </w:tr>
      <w:tr w:rsidR="004F19F3" w:rsidRPr="004F19F3" w:rsidTr="004F19F3">
        <w:trPr>
          <w:trHeight w:val="288"/>
          <w:jc w:val="center"/>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2016</w:t>
            </w:r>
          </w:p>
        </w:tc>
        <w:tc>
          <w:tcPr>
            <w:tcW w:w="766"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Overall</w:t>
            </w:r>
          </w:p>
        </w:tc>
        <w:tc>
          <w:tcPr>
            <w:tcW w:w="1135"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935</w:t>
            </w:r>
          </w:p>
        </w:tc>
        <w:tc>
          <w:tcPr>
            <w:tcW w:w="1135"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2.56</w:t>
            </w:r>
          </w:p>
        </w:tc>
        <w:tc>
          <w:tcPr>
            <w:tcW w:w="1703"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0.021</w:t>
            </w:r>
          </w:p>
        </w:tc>
      </w:tr>
      <w:tr w:rsidR="004F19F3" w:rsidRPr="004F19F3" w:rsidTr="004F19F3">
        <w:trPr>
          <w:trHeight w:val="288"/>
          <w:jc w:val="center"/>
        </w:trPr>
        <w:tc>
          <w:tcPr>
            <w:tcW w:w="5280" w:type="dxa"/>
            <w:gridSpan w:val="5"/>
            <w:tcBorders>
              <w:top w:val="single" w:sz="4" w:space="0" w:color="auto"/>
              <w:left w:val="single" w:sz="4" w:space="0" w:color="auto"/>
              <w:bottom w:val="single" w:sz="4" w:space="0" w:color="auto"/>
              <w:right w:val="single" w:sz="4" w:space="0" w:color="000000"/>
            </w:tcBorders>
            <w:shd w:val="clear" w:color="000000" w:fill="DAEEF3"/>
            <w:vAlign w:val="bottom"/>
            <w:hideMark/>
          </w:tcPr>
          <w:p w:rsidR="004F19F3" w:rsidRPr="004F19F3" w:rsidRDefault="004F19F3" w:rsidP="004F19F3">
            <w:pPr>
              <w:spacing w:after="0" w:line="240" w:lineRule="auto"/>
              <w:jc w:val="center"/>
              <w:rPr>
                <w:rFonts w:ascii="Calibri" w:eastAsia="Times New Roman" w:hAnsi="Calibri" w:cs="Times New Roman"/>
                <w:b/>
                <w:bCs/>
                <w:color w:val="000000"/>
              </w:rPr>
            </w:pPr>
            <w:r w:rsidRPr="004F19F3">
              <w:rPr>
                <w:rFonts w:ascii="Calibri" w:eastAsia="Times New Roman" w:hAnsi="Calibri" w:cs="Times New Roman"/>
                <w:b/>
                <w:bCs/>
                <w:color w:val="000000"/>
              </w:rPr>
              <w:t>EXTERIOR CFL 2011 DEER ANALYSIS</w:t>
            </w:r>
          </w:p>
        </w:tc>
      </w:tr>
      <w:tr w:rsidR="004F19F3" w:rsidRPr="004F19F3" w:rsidTr="004F19F3">
        <w:trPr>
          <w:trHeight w:val="288"/>
          <w:jc w:val="center"/>
        </w:trPr>
        <w:tc>
          <w:tcPr>
            <w:tcW w:w="541" w:type="dxa"/>
            <w:tcBorders>
              <w:top w:val="single" w:sz="4" w:space="0" w:color="auto"/>
              <w:left w:val="single" w:sz="4" w:space="0" w:color="auto"/>
              <w:bottom w:val="nil"/>
              <w:right w:val="single" w:sz="4" w:space="0" w:color="auto"/>
            </w:tcBorders>
            <w:shd w:val="clear" w:color="000000" w:fill="D9D9D9"/>
            <w:noWrap/>
            <w:vAlign w:val="bottom"/>
            <w:hideMark/>
          </w:tcPr>
          <w:p w:rsidR="004F19F3" w:rsidRPr="004F19F3" w:rsidRDefault="004F19F3" w:rsidP="004F19F3">
            <w:pPr>
              <w:spacing w:after="0" w:line="240" w:lineRule="auto"/>
              <w:jc w:val="center"/>
              <w:rPr>
                <w:rFonts w:ascii="Calibri" w:eastAsia="Times New Roman" w:hAnsi="Calibri" w:cs="Times New Roman"/>
                <w:b/>
                <w:bCs/>
                <w:color w:val="000000"/>
              </w:rPr>
            </w:pPr>
            <w:r w:rsidRPr="004F19F3">
              <w:rPr>
                <w:rFonts w:ascii="Calibri" w:eastAsia="Times New Roman" w:hAnsi="Calibri" w:cs="Times New Roman"/>
                <w:b/>
                <w:bCs/>
                <w:color w:val="000000"/>
              </w:rPr>
              <w:t> </w:t>
            </w:r>
          </w:p>
        </w:tc>
        <w:tc>
          <w:tcPr>
            <w:tcW w:w="766" w:type="dxa"/>
            <w:tcBorders>
              <w:top w:val="single" w:sz="4" w:space="0" w:color="auto"/>
              <w:left w:val="nil"/>
              <w:bottom w:val="nil"/>
              <w:right w:val="single" w:sz="4" w:space="0" w:color="auto"/>
            </w:tcBorders>
            <w:shd w:val="clear" w:color="000000" w:fill="D9D9D9"/>
            <w:noWrap/>
            <w:vAlign w:val="bottom"/>
            <w:hideMark/>
          </w:tcPr>
          <w:p w:rsidR="004F19F3" w:rsidRPr="004F19F3" w:rsidRDefault="004F19F3" w:rsidP="004F19F3">
            <w:pPr>
              <w:spacing w:after="0" w:line="240" w:lineRule="auto"/>
              <w:jc w:val="center"/>
              <w:rPr>
                <w:rFonts w:ascii="Calibri" w:eastAsia="Times New Roman" w:hAnsi="Calibri" w:cs="Times New Roman"/>
                <w:b/>
                <w:bCs/>
                <w:color w:val="000000"/>
              </w:rPr>
            </w:pPr>
            <w:r w:rsidRPr="004F19F3">
              <w:rPr>
                <w:rFonts w:ascii="Calibri" w:eastAsia="Times New Roman" w:hAnsi="Calibri" w:cs="Times New Roman"/>
                <w:b/>
                <w:bCs/>
                <w:color w:val="000000"/>
              </w:rPr>
              <w:t> </w:t>
            </w:r>
          </w:p>
        </w:tc>
        <w:tc>
          <w:tcPr>
            <w:tcW w:w="3973" w:type="dxa"/>
            <w:gridSpan w:val="3"/>
            <w:tcBorders>
              <w:top w:val="single" w:sz="4" w:space="0" w:color="auto"/>
              <w:left w:val="single" w:sz="4" w:space="0" w:color="auto"/>
              <w:bottom w:val="single" w:sz="4" w:space="0" w:color="auto"/>
              <w:right w:val="single" w:sz="4" w:space="0" w:color="000000"/>
            </w:tcBorders>
            <w:shd w:val="clear" w:color="000000" w:fill="B7DEE8"/>
            <w:noWrap/>
            <w:vAlign w:val="bottom"/>
            <w:hideMark/>
          </w:tcPr>
          <w:p w:rsidR="004F19F3" w:rsidRPr="004F19F3" w:rsidRDefault="004F19F3" w:rsidP="004F19F3">
            <w:pPr>
              <w:spacing w:after="0" w:line="240" w:lineRule="auto"/>
              <w:jc w:val="center"/>
              <w:rPr>
                <w:rFonts w:ascii="Calibri" w:eastAsia="Times New Roman" w:hAnsi="Calibri" w:cs="Times New Roman"/>
                <w:b/>
                <w:bCs/>
                <w:color w:val="000000"/>
              </w:rPr>
            </w:pPr>
            <w:r w:rsidRPr="004F19F3">
              <w:rPr>
                <w:rFonts w:ascii="Calibri" w:eastAsia="Times New Roman" w:hAnsi="Calibri" w:cs="Times New Roman"/>
                <w:b/>
                <w:bCs/>
                <w:color w:val="000000"/>
              </w:rPr>
              <w:t>CFL</w:t>
            </w:r>
          </w:p>
        </w:tc>
      </w:tr>
      <w:tr w:rsidR="004F19F3" w:rsidRPr="004F19F3" w:rsidTr="004F19F3">
        <w:trPr>
          <w:trHeight w:val="288"/>
          <w:jc w:val="center"/>
        </w:trPr>
        <w:tc>
          <w:tcPr>
            <w:tcW w:w="541" w:type="dxa"/>
            <w:tcBorders>
              <w:top w:val="nil"/>
              <w:left w:val="single" w:sz="4" w:space="0" w:color="auto"/>
              <w:bottom w:val="single" w:sz="4" w:space="0" w:color="auto"/>
              <w:right w:val="single" w:sz="4" w:space="0" w:color="auto"/>
            </w:tcBorders>
            <w:shd w:val="clear" w:color="000000" w:fill="D9D9D9"/>
            <w:noWrap/>
            <w:vAlign w:val="bottom"/>
            <w:hideMark/>
          </w:tcPr>
          <w:p w:rsidR="004F19F3" w:rsidRPr="004F19F3" w:rsidRDefault="004F19F3" w:rsidP="004F19F3">
            <w:pPr>
              <w:spacing w:after="0" w:line="240" w:lineRule="auto"/>
              <w:jc w:val="center"/>
              <w:rPr>
                <w:rFonts w:ascii="Calibri" w:eastAsia="Times New Roman" w:hAnsi="Calibri" w:cs="Times New Roman"/>
                <w:b/>
                <w:bCs/>
                <w:color w:val="000000"/>
              </w:rPr>
            </w:pPr>
            <w:r w:rsidRPr="004F19F3">
              <w:rPr>
                <w:rFonts w:ascii="Calibri" w:eastAsia="Times New Roman" w:hAnsi="Calibri" w:cs="Times New Roman"/>
                <w:b/>
                <w:bCs/>
                <w:color w:val="000000"/>
              </w:rPr>
              <w:t>Year</w:t>
            </w:r>
          </w:p>
        </w:tc>
        <w:tc>
          <w:tcPr>
            <w:tcW w:w="766" w:type="dxa"/>
            <w:tcBorders>
              <w:top w:val="nil"/>
              <w:left w:val="nil"/>
              <w:bottom w:val="single" w:sz="4" w:space="0" w:color="auto"/>
              <w:right w:val="single" w:sz="4" w:space="0" w:color="auto"/>
            </w:tcBorders>
            <w:shd w:val="clear" w:color="000000" w:fill="D9D9D9"/>
            <w:noWrap/>
            <w:vAlign w:val="bottom"/>
            <w:hideMark/>
          </w:tcPr>
          <w:p w:rsidR="004F19F3" w:rsidRPr="004F19F3" w:rsidRDefault="004F19F3" w:rsidP="004F19F3">
            <w:pPr>
              <w:spacing w:after="0" w:line="240" w:lineRule="auto"/>
              <w:jc w:val="center"/>
              <w:rPr>
                <w:rFonts w:ascii="Calibri" w:eastAsia="Times New Roman" w:hAnsi="Calibri" w:cs="Times New Roman"/>
                <w:b/>
                <w:bCs/>
                <w:color w:val="000000"/>
              </w:rPr>
            </w:pPr>
            <w:r w:rsidRPr="004F19F3">
              <w:rPr>
                <w:rFonts w:ascii="Calibri" w:eastAsia="Times New Roman" w:hAnsi="Calibri" w:cs="Times New Roman"/>
                <w:b/>
                <w:bCs/>
                <w:color w:val="000000"/>
              </w:rPr>
              <w:t>IOU</w:t>
            </w:r>
          </w:p>
        </w:tc>
        <w:tc>
          <w:tcPr>
            <w:tcW w:w="2270" w:type="dxa"/>
            <w:gridSpan w:val="2"/>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4F19F3" w:rsidRPr="004F19F3" w:rsidRDefault="004F19F3" w:rsidP="004F19F3">
            <w:pPr>
              <w:spacing w:after="0" w:line="240" w:lineRule="auto"/>
              <w:jc w:val="center"/>
              <w:rPr>
                <w:rFonts w:ascii="Calibri" w:eastAsia="Times New Roman" w:hAnsi="Calibri" w:cs="Times New Roman"/>
                <w:b/>
                <w:bCs/>
                <w:color w:val="000000"/>
              </w:rPr>
            </w:pPr>
            <w:r w:rsidRPr="004F19F3">
              <w:rPr>
                <w:rFonts w:ascii="Calibri" w:eastAsia="Times New Roman" w:hAnsi="Calibri" w:cs="Times New Roman"/>
                <w:b/>
                <w:bCs/>
                <w:color w:val="000000"/>
              </w:rPr>
              <w:t>Hours of Use</w:t>
            </w:r>
          </w:p>
        </w:tc>
        <w:tc>
          <w:tcPr>
            <w:tcW w:w="1703" w:type="dxa"/>
            <w:tcBorders>
              <w:top w:val="nil"/>
              <w:left w:val="nil"/>
              <w:bottom w:val="single" w:sz="4" w:space="0" w:color="auto"/>
              <w:right w:val="single" w:sz="4" w:space="0" w:color="auto"/>
            </w:tcBorders>
            <w:shd w:val="clear" w:color="000000" w:fill="D9D9D9"/>
            <w:noWrap/>
            <w:vAlign w:val="bottom"/>
            <w:hideMark/>
          </w:tcPr>
          <w:p w:rsidR="004F19F3" w:rsidRPr="004F19F3" w:rsidRDefault="004F19F3" w:rsidP="004F19F3">
            <w:pPr>
              <w:spacing w:after="0" w:line="240" w:lineRule="auto"/>
              <w:jc w:val="center"/>
              <w:rPr>
                <w:rFonts w:ascii="Calibri" w:eastAsia="Times New Roman" w:hAnsi="Calibri" w:cs="Times New Roman"/>
                <w:b/>
                <w:bCs/>
                <w:color w:val="000000"/>
              </w:rPr>
            </w:pPr>
            <w:r w:rsidRPr="004F19F3">
              <w:rPr>
                <w:rFonts w:ascii="Calibri" w:eastAsia="Times New Roman" w:hAnsi="Calibri" w:cs="Times New Roman"/>
                <w:b/>
                <w:bCs/>
                <w:color w:val="000000"/>
              </w:rPr>
              <w:t>CDF</w:t>
            </w:r>
          </w:p>
        </w:tc>
      </w:tr>
      <w:tr w:rsidR="004F19F3" w:rsidRPr="004F19F3" w:rsidTr="004F19F3">
        <w:trPr>
          <w:trHeight w:val="288"/>
          <w:jc w:val="center"/>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 </w:t>
            </w:r>
          </w:p>
        </w:tc>
        <w:tc>
          <w:tcPr>
            <w:tcW w:w="766" w:type="dxa"/>
            <w:tcBorders>
              <w:top w:val="single" w:sz="4" w:space="0" w:color="auto"/>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 </w:t>
            </w:r>
          </w:p>
        </w:tc>
        <w:tc>
          <w:tcPr>
            <w:tcW w:w="1135" w:type="dxa"/>
            <w:tcBorders>
              <w:top w:val="nil"/>
              <w:left w:val="nil"/>
              <w:bottom w:val="single" w:sz="4" w:space="0" w:color="auto"/>
              <w:right w:val="single" w:sz="4" w:space="0" w:color="auto"/>
            </w:tcBorders>
            <w:shd w:val="clear" w:color="auto" w:fill="auto"/>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Annual</w:t>
            </w:r>
          </w:p>
        </w:tc>
        <w:tc>
          <w:tcPr>
            <w:tcW w:w="1135" w:type="dxa"/>
            <w:tcBorders>
              <w:top w:val="nil"/>
              <w:left w:val="nil"/>
              <w:bottom w:val="single" w:sz="4" w:space="0" w:color="auto"/>
              <w:right w:val="single" w:sz="4" w:space="0" w:color="auto"/>
            </w:tcBorders>
            <w:shd w:val="clear" w:color="auto" w:fill="auto"/>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Daily</w:t>
            </w:r>
          </w:p>
        </w:tc>
        <w:tc>
          <w:tcPr>
            <w:tcW w:w="1703" w:type="dxa"/>
            <w:tcBorders>
              <w:top w:val="nil"/>
              <w:left w:val="nil"/>
              <w:bottom w:val="single" w:sz="4" w:space="0" w:color="auto"/>
              <w:right w:val="single" w:sz="4" w:space="0" w:color="auto"/>
            </w:tcBorders>
            <w:shd w:val="clear" w:color="auto" w:fill="auto"/>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All</w:t>
            </w:r>
          </w:p>
        </w:tc>
      </w:tr>
      <w:tr w:rsidR="004F19F3" w:rsidRPr="004F19F3" w:rsidTr="004F19F3">
        <w:trPr>
          <w:trHeight w:val="288"/>
          <w:jc w:val="center"/>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2011</w:t>
            </w:r>
          </w:p>
        </w:tc>
        <w:tc>
          <w:tcPr>
            <w:tcW w:w="766"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SCE</w:t>
            </w:r>
          </w:p>
        </w:tc>
        <w:tc>
          <w:tcPr>
            <w:tcW w:w="1135"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1343</w:t>
            </w:r>
          </w:p>
        </w:tc>
        <w:tc>
          <w:tcPr>
            <w:tcW w:w="1135"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3.68</w:t>
            </w:r>
          </w:p>
        </w:tc>
        <w:tc>
          <w:tcPr>
            <w:tcW w:w="1703"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0.136 - 0.142</w:t>
            </w:r>
          </w:p>
        </w:tc>
      </w:tr>
      <w:tr w:rsidR="004F19F3" w:rsidRPr="004F19F3" w:rsidTr="004F19F3">
        <w:trPr>
          <w:trHeight w:val="288"/>
          <w:jc w:val="center"/>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2011</w:t>
            </w:r>
          </w:p>
        </w:tc>
        <w:tc>
          <w:tcPr>
            <w:tcW w:w="766"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SDG&amp;E</w:t>
            </w:r>
          </w:p>
        </w:tc>
        <w:tc>
          <w:tcPr>
            <w:tcW w:w="1135"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1128</w:t>
            </w:r>
          </w:p>
        </w:tc>
        <w:tc>
          <w:tcPr>
            <w:tcW w:w="1135"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3.09</w:t>
            </w:r>
          </w:p>
        </w:tc>
        <w:tc>
          <w:tcPr>
            <w:tcW w:w="1703"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0.1 - 0.104</w:t>
            </w:r>
          </w:p>
        </w:tc>
      </w:tr>
      <w:tr w:rsidR="004F19F3" w:rsidRPr="004F19F3" w:rsidTr="004F19F3">
        <w:trPr>
          <w:trHeight w:val="288"/>
          <w:jc w:val="center"/>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2011</w:t>
            </w:r>
          </w:p>
        </w:tc>
        <w:tc>
          <w:tcPr>
            <w:tcW w:w="766"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PG&amp;E</w:t>
            </w:r>
          </w:p>
        </w:tc>
        <w:tc>
          <w:tcPr>
            <w:tcW w:w="1135"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1198</w:t>
            </w:r>
          </w:p>
        </w:tc>
        <w:tc>
          <w:tcPr>
            <w:tcW w:w="1135"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3.28</w:t>
            </w:r>
          </w:p>
        </w:tc>
        <w:tc>
          <w:tcPr>
            <w:tcW w:w="1703"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0.117 - 0.124</w:t>
            </w:r>
          </w:p>
        </w:tc>
      </w:tr>
      <w:tr w:rsidR="004F19F3" w:rsidRPr="004F19F3" w:rsidTr="004F19F3">
        <w:trPr>
          <w:trHeight w:val="288"/>
          <w:jc w:val="center"/>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2011</w:t>
            </w:r>
          </w:p>
        </w:tc>
        <w:tc>
          <w:tcPr>
            <w:tcW w:w="766"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Overall</w:t>
            </w:r>
          </w:p>
        </w:tc>
        <w:tc>
          <w:tcPr>
            <w:tcW w:w="1135"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1251</w:t>
            </w:r>
          </w:p>
        </w:tc>
        <w:tc>
          <w:tcPr>
            <w:tcW w:w="1135"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3.43</w:t>
            </w:r>
          </w:p>
        </w:tc>
        <w:tc>
          <w:tcPr>
            <w:tcW w:w="1703" w:type="dxa"/>
            <w:tcBorders>
              <w:top w:val="nil"/>
              <w:left w:val="nil"/>
              <w:bottom w:val="single" w:sz="4" w:space="0" w:color="auto"/>
              <w:right w:val="single" w:sz="4" w:space="0" w:color="auto"/>
            </w:tcBorders>
            <w:shd w:val="clear" w:color="auto" w:fill="auto"/>
            <w:noWrap/>
            <w:vAlign w:val="bottom"/>
            <w:hideMark/>
          </w:tcPr>
          <w:p w:rsidR="004F19F3" w:rsidRPr="004F19F3" w:rsidRDefault="004F19F3" w:rsidP="004F19F3">
            <w:pPr>
              <w:spacing w:after="0" w:line="240" w:lineRule="auto"/>
              <w:jc w:val="center"/>
              <w:rPr>
                <w:rFonts w:ascii="Calibri" w:eastAsia="Times New Roman" w:hAnsi="Calibri" w:cs="Times New Roman"/>
                <w:color w:val="000000"/>
              </w:rPr>
            </w:pPr>
            <w:r w:rsidRPr="004F19F3">
              <w:rPr>
                <w:rFonts w:ascii="Calibri" w:eastAsia="Times New Roman" w:hAnsi="Calibri" w:cs="Times New Roman"/>
                <w:color w:val="000000"/>
              </w:rPr>
              <w:t>0.123 - 0.129</w:t>
            </w:r>
          </w:p>
        </w:tc>
      </w:tr>
    </w:tbl>
    <w:p w:rsidR="00153118" w:rsidRDefault="00153118" w:rsidP="004F19F3">
      <w:pPr>
        <w:spacing w:after="180"/>
        <w:rPr>
          <w:b/>
        </w:rPr>
      </w:pPr>
    </w:p>
    <w:p w:rsidR="007F1A5E" w:rsidRPr="00563409" w:rsidRDefault="007F1A5E" w:rsidP="00563409">
      <w:pPr>
        <w:spacing w:after="180"/>
        <w:rPr>
          <w:b/>
        </w:rPr>
      </w:pPr>
      <w:r w:rsidRPr="00563409">
        <w:rPr>
          <w:b/>
        </w:rPr>
        <w:t>Wattage Reduction</w:t>
      </w:r>
    </w:p>
    <w:p w:rsidR="00BF7E42" w:rsidRDefault="00E125A9" w:rsidP="00563409">
      <w:pPr>
        <w:spacing w:after="180"/>
      </w:pPr>
      <w:r>
        <w:t xml:space="preserve">The </w:t>
      </w:r>
      <w:proofErr w:type="spellStart"/>
      <w:r w:rsidR="006F59B8">
        <w:t>ex ante</w:t>
      </w:r>
      <w:proofErr w:type="spellEnd"/>
      <w:r>
        <w:t xml:space="preserve"> team </w:t>
      </w:r>
      <w:r w:rsidR="00714BF2">
        <w:t>current recommendation has included</w:t>
      </w:r>
      <w:r>
        <w:t xml:space="preserve"> CFL-to-CFL replacements in</w:t>
      </w:r>
      <w:r w:rsidR="00714BF2">
        <w:t>to</w:t>
      </w:r>
      <w:r>
        <w:t xml:space="preserve"> the gross savings calculation. </w:t>
      </w:r>
      <w:fldSimple w:instr=" REF _Ref412436803 ">
        <w:r w:rsidR="00166D4A">
          <w:t xml:space="preserve">Table </w:t>
        </w:r>
        <w:r w:rsidR="00166D4A">
          <w:rPr>
            <w:noProof/>
          </w:rPr>
          <w:t>3</w:t>
        </w:r>
      </w:fldSimple>
      <w:r w:rsidR="00C56BB7">
        <w:t xml:space="preserve"> is an</w:t>
      </w:r>
      <w:r w:rsidR="00EC6E52">
        <w:t xml:space="preserve"> excerpt</w:t>
      </w:r>
      <w:r w:rsidR="00714BF2">
        <w:t xml:space="preserve"> of</w:t>
      </w:r>
      <w:r w:rsidR="00EC6E52">
        <w:t xml:space="preserve"> Table 63 of the WO28 report</w:t>
      </w:r>
      <w:r w:rsidR="00714BF2">
        <w:rPr>
          <w:rStyle w:val="FootnoteReference"/>
        </w:rPr>
        <w:footnoteReference w:id="9"/>
      </w:r>
      <w:r w:rsidR="005675CE">
        <w:t xml:space="preserve">. The table provides the results of an </w:t>
      </w:r>
      <w:r w:rsidR="005675CE">
        <w:lastRenderedPageBreak/>
        <w:t xml:space="preserve">installation trajectory analysis and shows a year-over-year increase in CFL installations of about four million. </w:t>
      </w:r>
      <w:r w:rsidR="0026235D">
        <w:t>This analysis is based upon the observed CFL installation saturation data from the 06-08 upstream impact evaluation</w:t>
      </w:r>
      <w:r w:rsidR="0026235D">
        <w:rPr>
          <w:rStyle w:val="FootnoteReference"/>
        </w:rPr>
        <w:footnoteReference w:id="10"/>
      </w:r>
      <w:r w:rsidR="0026235D">
        <w:t xml:space="preserve"> (the observations in 2009) and 2012 CLASS study</w:t>
      </w:r>
      <w:r w:rsidR="0026235D">
        <w:rPr>
          <w:rStyle w:val="FootnoteReference"/>
        </w:rPr>
        <w:footnoteReference w:id="11"/>
      </w:r>
      <w:r w:rsidR="0026235D">
        <w:t xml:space="preserve"> (observations in 2012), then projected forward into </w:t>
      </w:r>
      <w:r w:rsidR="00396B0D">
        <w:t xml:space="preserve">2013 and </w:t>
      </w:r>
      <w:r w:rsidR="0026235D">
        <w:t xml:space="preserve">2014. Particular attention should be given to the red highlighted </w:t>
      </w:r>
      <w:r w:rsidR="0086243F">
        <w:t>row</w:t>
      </w:r>
      <w:r w:rsidR="0026235D">
        <w:t xml:space="preserve">s in the table. </w:t>
      </w:r>
      <w:r w:rsidR="0086243F">
        <w:t xml:space="preserve"> </w:t>
      </w:r>
      <w:r w:rsidR="0086243F">
        <w:fldChar w:fldCharType="begin"/>
      </w:r>
      <w:r w:rsidR="0086243F">
        <w:instrText xml:space="preserve"> REF _Ref419650046 \h </w:instrText>
      </w:r>
      <w:r w:rsidR="0086243F">
        <w:fldChar w:fldCharType="separate"/>
      </w:r>
      <w:r w:rsidR="0086243F">
        <w:t xml:space="preserve">Table </w:t>
      </w:r>
      <w:r w:rsidR="0086243F">
        <w:rPr>
          <w:noProof/>
        </w:rPr>
        <w:t>4</w:t>
      </w:r>
      <w:r w:rsidR="0086243F">
        <w:fldChar w:fldCharType="end"/>
      </w:r>
      <w:r w:rsidR="0086243F">
        <w:t xml:space="preserve"> extracts the rows from </w:t>
      </w:r>
      <w:r w:rsidR="0086243F">
        <w:fldChar w:fldCharType="begin"/>
      </w:r>
      <w:r w:rsidR="0086243F">
        <w:instrText xml:space="preserve"> REF _Ref412436803 \h </w:instrText>
      </w:r>
      <w:r w:rsidR="0086243F">
        <w:fldChar w:fldCharType="separate"/>
      </w:r>
      <w:r w:rsidR="0086243F">
        <w:t xml:space="preserve">Table </w:t>
      </w:r>
      <w:r w:rsidR="0086243F">
        <w:rPr>
          <w:noProof/>
        </w:rPr>
        <w:t>3</w:t>
      </w:r>
      <w:r w:rsidR="0086243F">
        <w:fldChar w:fldCharType="end"/>
      </w:r>
      <w:r w:rsidR="0086243F">
        <w:t xml:space="preserve"> relevant to the calculation of the fraction of total CFL purchases that are projected to be CFL-to-CFL replacements. </w:t>
      </w:r>
      <w:r w:rsidR="005675CE">
        <w:t>Since there are a total of over 3</w:t>
      </w:r>
      <w:r w:rsidR="0086243F">
        <w:t>0</w:t>
      </w:r>
      <w:r w:rsidR="005675CE">
        <w:t xml:space="preserve"> million CFLs sold in each year, and about 15 million of those are program incented lamps, </w:t>
      </w:r>
      <w:r w:rsidR="0086243F">
        <w:t>yet the increase in socket saturation for CFLs is only about 3 million</w:t>
      </w:r>
      <w:r w:rsidR="00BF7E42">
        <w:t xml:space="preserve"> it is implied that </w:t>
      </w:r>
      <w:r w:rsidR="005675CE">
        <w:t>the overwhelming majority of those CFLs are being used to repla</w:t>
      </w:r>
      <w:r w:rsidR="0086243F">
        <w:t>ce existing</w:t>
      </w:r>
      <w:r w:rsidR="00BF7E42">
        <w:t xml:space="preserve"> (thus early removed</w:t>
      </w:r>
      <w:r w:rsidR="0086243F">
        <w:t xml:space="preserve"> or burned out</w:t>
      </w:r>
      <w:r w:rsidR="00BF7E42">
        <w:t>)</w:t>
      </w:r>
      <w:r w:rsidR="0086243F">
        <w:t xml:space="preserve"> CFLs. </w:t>
      </w:r>
      <w:r w:rsidR="00BF7E42">
        <w:t>If we attribute 100% of the increased CFL saturation to program activities, we still have 80% of program CFLs being CFL-to-CFL replacements. T</w:t>
      </w:r>
      <w:r w:rsidR="00BF7E42" w:rsidRPr="00166D4A">
        <w:t xml:space="preserve">he most recent survey results from WO28 indicate that </w:t>
      </w:r>
      <w:r w:rsidR="00BF7E42">
        <w:t>approximately</w:t>
      </w:r>
      <w:r w:rsidR="00BF7E42" w:rsidRPr="00166D4A">
        <w:t xml:space="preserve"> 40% of CFLs would revert back to an incandescent lamp when the CFL is removed, </w:t>
      </w:r>
      <w:r w:rsidR="00BF7E42">
        <w:t xml:space="preserve">for whatever reason the removal takes place. This would translate into </w:t>
      </w:r>
      <w:r w:rsidR="00252FE7">
        <w:t xml:space="preserve">52% (40% reversions of 80% CFL-to-CFL replacement plus 20% new saturation) of the program lamps being incandescent replacements. The </w:t>
      </w:r>
      <w:proofErr w:type="spellStart"/>
      <w:r w:rsidR="00252FE7">
        <w:t>ex ante</w:t>
      </w:r>
      <w:proofErr w:type="spellEnd"/>
      <w:r w:rsidR="00252FE7">
        <w:t xml:space="preserve"> team recommends using a 60% incandescent replacement assumption at this time.</w:t>
      </w:r>
    </w:p>
    <w:p w:rsidR="00E125A9" w:rsidRDefault="0086243F" w:rsidP="00563409">
      <w:pPr>
        <w:spacing w:after="180"/>
      </w:pPr>
      <w:r>
        <w:t xml:space="preserve">The results presented in the </w:t>
      </w:r>
      <w:r w:rsidR="005675CE">
        <w:t xml:space="preserve">WO28 </w:t>
      </w:r>
      <w:r>
        <w:t>report are based on the previously utilized</w:t>
      </w:r>
      <w:r w:rsidR="005675CE">
        <w:t xml:space="preserve"> assum</w:t>
      </w:r>
      <w:r>
        <w:t>ption that</w:t>
      </w:r>
      <w:r w:rsidR="005675CE">
        <w:t xml:space="preserve"> gross savings are based on </w:t>
      </w:r>
      <w:r w:rsidR="00252FE7">
        <w:t xml:space="preserve">100% </w:t>
      </w:r>
      <w:r w:rsidR="005675CE">
        <w:t xml:space="preserve">CFL-to-incandescent replacements and that CFL-to-CFL replacements are considered in the determination of </w:t>
      </w:r>
      <w:r>
        <w:t>the NTG value</w:t>
      </w:r>
      <w:r w:rsidR="005675CE">
        <w:t xml:space="preserve">. The </w:t>
      </w:r>
      <w:proofErr w:type="spellStart"/>
      <w:r w:rsidR="006C0451">
        <w:t>ex ante</w:t>
      </w:r>
      <w:proofErr w:type="spellEnd"/>
      <w:r w:rsidR="005675CE">
        <w:t xml:space="preserve"> team </w:t>
      </w:r>
      <w:r w:rsidR="00252FE7">
        <w:t xml:space="preserve">recommendation replaces </w:t>
      </w:r>
      <w:r w:rsidR="005675CE">
        <w:t>this assumption</w:t>
      </w:r>
      <w:r w:rsidR="00252FE7">
        <w:t xml:space="preserve"> with the 60% assumption derived above. Using a 100% assumption</w:t>
      </w:r>
      <w:r w:rsidR="005675CE">
        <w:t xml:space="preserve"> indicates a regressive baseline, which is contrary to CPUC policy</w:t>
      </w:r>
      <w:r w:rsidR="00B32DE0">
        <w:rPr>
          <w:rStyle w:val="FootnoteReference"/>
        </w:rPr>
        <w:footnoteReference w:id="12"/>
      </w:r>
      <w:r w:rsidR="005675CE">
        <w:t>.</w:t>
      </w:r>
      <w:r w:rsidR="00153118">
        <w:t xml:space="preserve"> The </w:t>
      </w:r>
      <w:proofErr w:type="spellStart"/>
      <w:r w:rsidR="00153118">
        <w:t>ex ante</w:t>
      </w:r>
      <w:proofErr w:type="spellEnd"/>
      <w:r w:rsidR="00153118">
        <w:t xml:space="preserve"> team has recalculated the DEER 2011 wattage reduction ratios</w:t>
      </w:r>
      <w:r w:rsidR="002D5E75">
        <w:t xml:space="preserve"> to account for 40% of installed CFLs replacing existing CFLs of the same wattage instead of incandescent lamps as shown in </w:t>
      </w:r>
      <w:fldSimple w:instr=" REF _Ref419546803 ">
        <w:r>
          <w:t xml:space="preserve">Table </w:t>
        </w:r>
        <w:r>
          <w:rPr>
            <w:noProof/>
          </w:rPr>
          <w:t>5</w:t>
        </w:r>
      </w:fldSimple>
      <w:r w:rsidR="002D5E75">
        <w:t>.</w:t>
      </w:r>
    </w:p>
    <w:p w:rsidR="00C56BB7" w:rsidRDefault="00C56BB7" w:rsidP="00166D4A">
      <w:pPr>
        <w:pStyle w:val="Caption"/>
        <w:keepNext/>
      </w:pPr>
      <w:bookmarkStart w:id="6" w:name="_Ref412436803"/>
      <w:r>
        <w:lastRenderedPageBreak/>
        <w:t xml:space="preserve">Table </w:t>
      </w:r>
      <w:fldSimple w:instr=" SEQ Table \* ARABIC ">
        <w:r w:rsidR="008D583C">
          <w:rPr>
            <w:noProof/>
          </w:rPr>
          <w:t>4</w:t>
        </w:r>
      </w:fldSimple>
      <w:bookmarkEnd w:id="6"/>
      <w:r>
        <w:t xml:space="preserve"> - Installation Trajectory Analysis (excerpt)</w:t>
      </w:r>
    </w:p>
    <w:p w:rsidR="00C56BB7" w:rsidRDefault="00714BF2" w:rsidP="00166D4A">
      <w:pPr>
        <w:spacing w:after="180"/>
      </w:pPr>
      <w:r w:rsidRPr="00714BF2">
        <w:rPr>
          <w:noProof/>
        </w:rPr>
        <w:drawing>
          <wp:inline distT="0" distB="0" distL="0" distR="0" wp14:anchorId="20BB0E26" wp14:editId="431A8E76">
            <wp:extent cx="5943600" cy="31899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3189994"/>
                    </a:xfrm>
                    <a:prstGeom prst="rect">
                      <a:avLst/>
                    </a:prstGeom>
                    <a:noFill/>
                    <a:ln>
                      <a:noFill/>
                    </a:ln>
                  </pic:spPr>
                </pic:pic>
              </a:graphicData>
            </a:graphic>
          </wp:inline>
        </w:drawing>
      </w:r>
    </w:p>
    <w:p w:rsidR="00396B0D" w:rsidRDefault="00396B0D" w:rsidP="00396B0D">
      <w:pPr>
        <w:pStyle w:val="Caption"/>
        <w:keepNext/>
      </w:pPr>
      <w:bookmarkStart w:id="7" w:name="_Ref419650046"/>
      <w:r>
        <w:t xml:space="preserve">Table </w:t>
      </w:r>
      <w:fldSimple w:instr=" SEQ Table \* ARABIC ">
        <w:r w:rsidR="008D583C">
          <w:rPr>
            <w:noProof/>
          </w:rPr>
          <w:t>5</w:t>
        </w:r>
      </w:fldSimple>
      <w:bookmarkEnd w:id="7"/>
      <w:r>
        <w:t xml:space="preserve"> - CFL-to-CFL Repl</w:t>
      </w:r>
      <w:r w:rsidR="0086243F">
        <w:t>acements as a percentage of tota</w:t>
      </w:r>
      <w:r>
        <w:t>l CFL Purchases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3230"/>
        <w:gridCol w:w="1022"/>
        <w:gridCol w:w="1022"/>
        <w:gridCol w:w="1019"/>
        <w:gridCol w:w="1019"/>
        <w:gridCol w:w="1019"/>
        <w:gridCol w:w="1019"/>
      </w:tblGrid>
      <w:tr w:rsidR="00396B0D" w:rsidRPr="00396B0D" w:rsidTr="00396B0D">
        <w:trPr>
          <w:trHeight w:hRule="exact" w:val="288"/>
        </w:trPr>
        <w:tc>
          <w:tcPr>
            <w:tcW w:w="1727" w:type="pct"/>
            <w:shd w:val="clear" w:color="auto" w:fill="auto"/>
            <w:tcMar>
              <w:top w:w="12" w:type="dxa"/>
              <w:left w:w="12" w:type="dxa"/>
              <w:bottom w:w="0" w:type="dxa"/>
              <w:right w:w="12" w:type="dxa"/>
            </w:tcMar>
            <w:vAlign w:val="bottom"/>
            <w:hideMark/>
          </w:tcPr>
          <w:p w:rsidR="00396B0D" w:rsidRPr="00396B0D" w:rsidRDefault="00396B0D" w:rsidP="00396B0D">
            <w:pPr>
              <w:spacing w:after="180"/>
            </w:pP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pPr>
            <w:r w:rsidRPr="00396B0D">
              <w:rPr>
                <w:b/>
                <w:bCs/>
              </w:rPr>
              <w:t>2009</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pPr>
            <w:r w:rsidRPr="00396B0D">
              <w:rPr>
                <w:b/>
                <w:bCs/>
              </w:rPr>
              <w:t>2010</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pPr>
            <w:r w:rsidRPr="00396B0D">
              <w:rPr>
                <w:b/>
                <w:bCs/>
              </w:rPr>
              <w:t>2011</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pPr>
            <w:r w:rsidRPr="00396B0D">
              <w:rPr>
                <w:b/>
                <w:bCs/>
              </w:rPr>
              <w:t>2012</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pPr>
            <w:r w:rsidRPr="00396B0D">
              <w:rPr>
                <w:b/>
                <w:bCs/>
              </w:rPr>
              <w:t>2013</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pPr>
            <w:r w:rsidRPr="00396B0D">
              <w:rPr>
                <w:b/>
                <w:bCs/>
              </w:rPr>
              <w:t>2014</w:t>
            </w:r>
          </w:p>
        </w:tc>
      </w:tr>
      <w:tr w:rsidR="00396B0D" w:rsidRPr="00396B0D" w:rsidTr="00396B0D">
        <w:trPr>
          <w:trHeight w:hRule="exact" w:val="288"/>
        </w:trPr>
        <w:tc>
          <w:tcPr>
            <w:tcW w:w="1727" w:type="pct"/>
            <w:shd w:val="clear" w:color="auto" w:fill="auto"/>
            <w:tcMar>
              <w:top w:w="12" w:type="dxa"/>
              <w:left w:w="12" w:type="dxa"/>
              <w:bottom w:w="0" w:type="dxa"/>
              <w:right w:w="12" w:type="dxa"/>
            </w:tcMar>
            <w:vAlign w:val="bottom"/>
            <w:hideMark/>
          </w:tcPr>
          <w:p w:rsidR="00396B0D" w:rsidRPr="00396B0D" w:rsidRDefault="00396B0D" w:rsidP="00396B0D">
            <w:pPr>
              <w:spacing w:after="180"/>
            </w:pPr>
            <w:r w:rsidRPr="00396B0D">
              <w:rPr>
                <w:b/>
                <w:bCs/>
              </w:rPr>
              <w:t>Total Market CFLs bought</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31.2</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35.4</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31.4</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31.8</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32.3</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31.5</w:t>
            </w:r>
          </w:p>
        </w:tc>
      </w:tr>
      <w:tr w:rsidR="00396B0D" w:rsidRPr="00396B0D" w:rsidTr="00396B0D">
        <w:trPr>
          <w:trHeight w:hRule="exact" w:val="288"/>
        </w:trPr>
        <w:tc>
          <w:tcPr>
            <w:tcW w:w="1727" w:type="pct"/>
            <w:shd w:val="clear" w:color="auto" w:fill="auto"/>
            <w:tcMar>
              <w:top w:w="12" w:type="dxa"/>
              <w:left w:w="12" w:type="dxa"/>
              <w:bottom w:w="0" w:type="dxa"/>
              <w:right w:w="12" w:type="dxa"/>
            </w:tcMar>
            <w:vAlign w:val="bottom"/>
            <w:hideMark/>
          </w:tcPr>
          <w:p w:rsidR="00396B0D" w:rsidRPr="00396B0D" w:rsidRDefault="00396B0D" w:rsidP="00396B0D">
            <w:pPr>
              <w:spacing w:after="180"/>
            </w:pPr>
            <w:r w:rsidRPr="00396B0D">
              <w:rPr>
                <w:b/>
                <w:bCs/>
              </w:rPr>
              <w:t>Total program CFLs</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21.9</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24.8</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18.9</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19.1</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16.1</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15.8</w:t>
            </w:r>
          </w:p>
        </w:tc>
      </w:tr>
      <w:tr w:rsidR="00396B0D" w:rsidRPr="00396B0D" w:rsidTr="00396B0D">
        <w:trPr>
          <w:trHeight w:hRule="exact" w:val="288"/>
        </w:trPr>
        <w:tc>
          <w:tcPr>
            <w:tcW w:w="1727"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pPr>
            <w:r w:rsidRPr="00396B0D">
              <w:rPr>
                <w:b/>
                <w:bCs/>
              </w:rPr>
              <w:t>Program % of market</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70%</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70%</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60%</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60%</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50%</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50%</w:t>
            </w:r>
          </w:p>
        </w:tc>
      </w:tr>
      <w:tr w:rsidR="00BF7E42" w:rsidRPr="00396B0D" w:rsidTr="00AF7003">
        <w:trPr>
          <w:trHeight w:hRule="exact" w:val="288"/>
        </w:trPr>
        <w:tc>
          <w:tcPr>
            <w:tcW w:w="1727" w:type="pct"/>
            <w:shd w:val="clear" w:color="auto" w:fill="auto"/>
            <w:tcMar>
              <w:top w:w="12" w:type="dxa"/>
              <w:left w:w="12" w:type="dxa"/>
              <w:bottom w:w="0" w:type="dxa"/>
              <w:right w:w="12" w:type="dxa"/>
            </w:tcMar>
            <w:vAlign w:val="bottom"/>
            <w:hideMark/>
          </w:tcPr>
          <w:p w:rsidR="00BF7E42" w:rsidRPr="00396B0D" w:rsidRDefault="00BF7E42" w:rsidP="00AF7003">
            <w:pPr>
              <w:spacing w:after="180"/>
            </w:pPr>
            <w:r w:rsidRPr="00396B0D">
              <w:rPr>
                <w:b/>
                <w:bCs/>
              </w:rPr>
              <w:t>Number installed at start of year</w:t>
            </w:r>
          </w:p>
        </w:tc>
        <w:tc>
          <w:tcPr>
            <w:tcW w:w="546" w:type="pct"/>
            <w:shd w:val="clear" w:color="auto" w:fill="auto"/>
            <w:tcMar>
              <w:top w:w="12" w:type="dxa"/>
              <w:left w:w="12" w:type="dxa"/>
              <w:bottom w:w="0" w:type="dxa"/>
              <w:right w:w="12" w:type="dxa"/>
            </w:tcMar>
            <w:vAlign w:val="bottom"/>
            <w:hideMark/>
          </w:tcPr>
          <w:p w:rsidR="00BF7E42" w:rsidRPr="00396B0D" w:rsidRDefault="00BF7E42" w:rsidP="00AF7003">
            <w:pPr>
              <w:spacing w:after="180"/>
              <w:jc w:val="center"/>
            </w:pPr>
          </w:p>
        </w:tc>
        <w:tc>
          <w:tcPr>
            <w:tcW w:w="546" w:type="pct"/>
            <w:shd w:val="clear" w:color="auto" w:fill="auto"/>
            <w:tcMar>
              <w:top w:w="12" w:type="dxa"/>
              <w:left w:w="12" w:type="dxa"/>
              <w:bottom w:w="0" w:type="dxa"/>
              <w:right w:w="12" w:type="dxa"/>
            </w:tcMar>
            <w:vAlign w:val="bottom"/>
            <w:hideMark/>
          </w:tcPr>
          <w:p w:rsidR="00BF7E42" w:rsidRPr="00396B0D" w:rsidRDefault="00BF7E42" w:rsidP="00AF7003">
            <w:pPr>
              <w:spacing w:after="180"/>
              <w:jc w:val="center"/>
              <w:rPr>
                <w:sz w:val="20"/>
                <w:szCs w:val="20"/>
              </w:rPr>
            </w:pPr>
            <w:r w:rsidRPr="00396B0D">
              <w:rPr>
                <w:sz w:val="20"/>
                <w:szCs w:val="20"/>
              </w:rPr>
              <w:t>87.8</w:t>
            </w:r>
          </w:p>
        </w:tc>
        <w:tc>
          <w:tcPr>
            <w:tcW w:w="545" w:type="pct"/>
            <w:shd w:val="clear" w:color="auto" w:fill="auto"/>
            <w:tcMar>
              <w:top w:w="12" w:type="dxa"/>
              <w:left w:w="12" w:type="dxa"/>
              <w:bottom w:w="0" w:type="dxa"/>
              <w:right w:w="12" w:type="dxa"/>
            </w:tcMar>
            <w:vAlign w:val="bottom"/>
            <w:hideMark/>
          </w:tcPr>
          <w:p w:rsidR="00BF7E42" w:rsidRPr="00396B0D" w:rsidRDefault="00BF7E42" w:rsidP="00AF7003">
            <w:pPr>
              <w:spacing w:after="180"/>
              <w:jc w:val="center"/>
              <w:rPr>
                <w:sz w:val="20"/>
                <w:szCs w:val="20"/>
              </w:rPr>
            </w:pPr>
            <w:r w:rsidRPr="00396B0D">
              <w:rPr>
                <w:sz w:val="20"/>
                <w:szCs w:val="20"/>
              </w:rPr>
              <w:t>99.9</w:t>
            </w:r>
          </w:p>
        </w:tc>
        <w:tc>
          <w:tcPr>
            <w:tcW w:w="545" w:type="pct"/>
            <w:shd w:val="clear" w:color="auto" w:fill="auto"/>
            <w:tcMar>
              <w:top w:w="12" w:type="dxa"/>
              <w:left w:w="12" w:type="dxa"/>
              <w:bottom w:w="0" w:type="dxa"/>
              <w:right w:w="12" w:type="dxa"/>
            </w:tcMar>
            <w:vAlign w:val="bottom"/>
            <w:hideMark/>
          </w:tcPr>
          <w:p w:rsidR="00BF7E42" w:rsidRPr="00396B0D" w:rsidRDefault="00BF7E42" w:rsidP="00AF7003">
            <w:pPr>
              <w:spacing w:after="180"/>
              <w:jc w:val="center"/>
              <w:rPr>
                <w:sz w:val="20"/>
                <w:szCs w:val="20"/>
              </w:rPr>
            </w:pPr>
            <w:r w:rsidRPr="00396B0D">
              <w:rPr>
                <w:sz w:val="20"/>
                <w:szCs w:val="20"/>
              </w:rPr>
              <w:t>105.7</w:t>
            </w:r>
          </w:p>
        </w:tc>
        <w:tc>
          <w:tcPr>
            <w:tcW w:w="545" w:type="pct"/>
            <w:shd w:val="clear" w:color="auto" w:fill="auto"/>
            <w:tcMar>
              <w:top w:w="12" w:type="dxa"/>
              <w:left w:w="12" w:type="dxa"/>
              <w:bottom w:w="0" w:type="dxa"/>
              <w:right w:w="12" w:type="dxa"/>
            </w:tcMar>
            <w:vAlign w:val="bottom"/>
            <w:hideMark/>
          </w:tcPr>
          <w:p w:rsidR="00BF7E42" w:rsidRPr="00396B0D" w:rsidRDefault="00BF7E42" w:rsidP="00AF7003">
            <w:pPr>
              <w:spacing w:after="180"/>
              <w:jc w:val="center"/>
              <w:rPr>
                <w:sz w:val="20"/>
                <w:szCs w:val="20"/>
              </w:rPr>
            </w:pPr>
            <w:r w:rsidRPr="00396B0D">
              <w:rPr>
                <w:sz w:val="20"/>
                <w:szCs w:val="20"/>
              </w:rPr>
              <w:t>110.5</w:t>
            </w:r>
          </w:p>
        </w:tc>
        <w:tc>
          <w:tcPr>
            <w:tcW w:w="545" w:type="pct"/>
            <w:shd w:val="clear" w:color="auto" w:fill="auto"/>
            <w:tcMar>
              <w:top w:w="12" w:type="dxa"/>
              <w:left w:w="12" w:type="dxa"/>
              <w:bottom w:w="0" w:type="dxa"/>
              <w:right w:w="12" w:type="dxa"/>
            </w:tcMar>
            <w:vAlign w:val="bottom"/>
            <w:hideMark/>
          </w:tcPr>
          <w:p w:rsidR="00BF7E42" w:rsidRPr="00396B0D" w:rsidRDefault="00BF7E42" w:rsidP="00AF7003">
            <w:pPr>
              <w:spacing w:after="180"/>
              <w:jc w:val="center"/>
              <w:rPr>
                <w:sz w:val="20"/>
                <w:szCs w:val="20"/>
              </w:rPr>
            </w:pPr>
            <w:r w:rsidRPr="00396B0D">
              <w:rPr>
                <w:sz w:val="20"/>
                <w:szCs w:val="20"/>
              </w:rPr>
              <w:t>114.7</w:t>
            </w:r>
          </w:p>
        </w:tc>
      </w:tr>
      <w:tr w:rsidR="00BF7E42" w:rsidRPr="00396B0D" w:rsidTr="00AF7003">
        <w:trPr>
          <w:trHeight w:hRule="exact" w:val="288"/>
        </w:trPr>
        <w:tc>
          <w:tcPr>
            <w:tcW w:w="1727" w:type="pct"/>
            <w:shd w:val="clear" w:color="auto" w:fill="auto"/>
            <w:tcMar>
              <w:top w:w="12" w:type="dxa"/>
              <w:left w:w="12" w:type="dxa"/>
              <w:bottom w:w="0" w:type="dxa"/>
              <w:right w:w="12" w:type="dxa"/>
            </w:tcMar>
            <w:vAlign w:val="bottom"/>
            <w:hideMark/>
          </w:tcPr>
          <w:p w:rsidR="00BF7E42" w:rsidRPr="00396B0D" w:rsidRDefault="00BF7E42" w:rsidP="00AF7003">
            <w:pPr>
              <w:spacing w:after="180"/>
            </w:pPr>
            <w:r w:rsidRPr="00396B0D">
              <w:rPr>
                <w:b/>
                <w:bCs/>
              </w:rPr>
              <w:t>Replacements as % of installed</w:t>
            </w:r>
          </w:p>
        </w:tc>
        <w:tc>
          <w:tcPr>
            <w:tcW w:w="546" w:type="pct"/>
            <w:shd w:val="clear" w:color="auto" w:fill="auto"/>
            <w:tcMar>
              <w:top w:w="12" w:type="dxa"/>
              <w:left w:w="12" w:type="dxa"/>
              <w:bottom w:w="0" w:type="dxa"/>
              <w:right w:w="12" w:type="dxa"/>
            </w:tcMar>
            <w:vAlign w:val="bottom"/>
            <w:hideMark/>
          </w:tcPr>
          <w:p w:rsidR="00BF7E42" w:rsidRPr="00396B0D" w:rsidRDefault="00BF7E42" w:rsidP="00AF7003">
            <w:pPr>
              <w:spacing w:after="180"/>
              <w:jc w:val="center"/>
            </w:pPr>
          </w:p>
        </w:tc>
        <w:tc>
          <w:tcPr>
            <w:tcW w:w="546" w:type="pct"/>
            <w:shd w:val="clear" w:color="auto" w:fill="auto"/>
            <w:tcMar>
              <w:top w:w="12" w:type="dxa"/>
              <w:left w:w="12" w:type="dxa"/>
              <w:bottom w:w="0" w:type="dxa"/>
              <w:right w:w="12" w:type="dxa"/>
            </w:tcMar>
            <w:vAlign w:val="bottom"/>
            <w:hideMark/>
          </w:tcPr>
          <w:p w:rsidR="00BF7E42" w:rsidRPr="00396B0D" w:rsidRDefault="00BF7E42" w:rsidP="00AF7003">
            <w:pPr>
              <w:spacing w:after="180"/>
              <w:jc w:val="center"/>
              <w:rPr>
                <w:sz w:val="20"/>
                <w:szCs w:val="20"/>
              </w:rPr>
            </w:pPr>
            <w:r w:rsidRPr="00396B0D">
              <w:rPr>
                <w:sz w:val="20"/>
                <w:szCs w:val="20"/>
              </w:rPr>
              <w:t>25%</w:t>
            </w:r>
          </w:p>
        </w:tc>
        <w:tc>
          <w:tcPr>
            <w:tcW w:w="545" w:type="pct"/>
            <w:shd w:val="clear" w:color="auto" w:fill="auto"/>
            <w:tcMar>
              <w:top w:w="12" w:type="dxa"/>
              <w:left w:w="12" w:type="dxa"/>
              <w:bottom w:w="0" w:type="dxa"/>
              <w:right w:w="12" w:type="dxa"/>
            </w:tcMar>
            <w:vAlign w:val="bottom"/>
            <w:hideMark/>
          </w:tcPr>
          <w:p w:rsidR="00BF7E42" w:rsidRPr="00396B0D" w:rsidRDefault="00BF7E42" w:rsidP="00AF7003">
            <w:pPr>
              <w:spacing w:after="180"/>
              <w:jc w:val="center"/>
              <w:rPr>
                <w:sz w:val="20"/>
                <w:szCs w:val="20"/>
              </w:rPr>
            </w:pPr>
            <w:r w:rsidRPr="00396B0D">
              <w:rPr>
                <w:sz w:val="20"/>
                <w:szCs w:val="20"/>
              </w:rPr>
              <w:t>25%</w:t>
            </w:r>
          </w:p>
        </w:tc>
        <w:tc>
          <w:tcPr>
            <w:tcW w:w="545" w:type="pct"/>
            <w:shd w:val="clear" w:color="auto" w:fill="auto"/>
            <w:tcMar>
              <w:top w:w="12" w:type="dxa"/>
              <w:left w:w="12" w:type="dxa"/>
              <w:bottom w:w="0" w:type="dxa"/>
              <w:right w:w="12" w:type="dxa"/>
            </w:tcMar>
            <w:vAlign w:val="bottom"/>
            <w:hideMark/>
          </w:tcPr>
          <w:p w:rsidR="00BF7E42" w:rsidRPr="00396B0D" w:rsidRDefault="00BF7E42" w:rsidP="00AF7003">
            <w:pPr>
              <w:spacing w:after="180"/>
              <w:jc w:val="center"/>
              <w:rPr>
                <w:sz w:val="20"/>
                <w:szCs w:val="20"/>
              </w:rPr>
            </w:pPr>
            <w:r w:rsidRPr="00396B0D">
              <w:rPr>
                <w:sz w:val="20"/>
                <w:szCs w:val="20"/>
              </w:rPr>
              <w:t>25%</w:t>
            </w:r>
          </w:p>
        </w:tc>
        <w:tc>
          <w:tcPr>
            <w:tcW w:w="545" w:type="pct"/>
            <w:shd w:val="clear" w:color="auto" w:fill="auto"/>
            <w:tcMar>
              <w:top w:w="12" w:type="dxa"/>
              <w:left w:w="12" w:type="dxa"/>
              <w:bottom w:w="0" w:type="dxa"/>
              <w:right w:w="12" w:type="dxa"/>
            </w:tcMar>
            <w:vAlign w:val="bottom"/>
            <w:hideMark/>
          </w:tcPr>
          <w:p w:rsidR="00BF7E42" w:rsidRPr="00396B0D" w:rsidRDefault="00BF7E42" w:rsidP="00AF7003">
            <w:pPr>
              <w:spacing w:after="180"/>
              <w:jc w:val="center"/>
              <w:rPr>
                <w:sz w:val="20"/>
                <w:szCs w:val="20"/>
              </w:rPr>
            </w:pPr>
            <w:r w:rsidRPr="00396B0D">
              <w:rPr>
                <w:sz w:val="20"/>
                <w:szCs w:val="20"/>
              </w:rPr>
              <w:t>25%</w:t>
            </w:r>
          </w:p>
        </w:tc>
        <w:tc>
          <w:tcPr>
            <w:tcW w:w="545" w:type="pct"/>
            <w:shd w:val="clear" w:color="auto" w:fill="auto"/>
            <w:tcMar>
              <w:top w:w="12" w:type="dxa"/>
              <w:left w:w="12" w:type="dxa"/>
              <w:bottom w:w="0" w:type="dxa"/>
              <w:right w:w="12" w:type="dxa"/>
            </w:tcMar>
            <w:vAlign w:val="bottom"/>
            <w:hideMark/>
          </w:tcPr>
          <w:p w:rsidR="00BF7E42" w:rsidRPr="00396B0D" w:rsidRDefault="00BF7E42" w:rsidP="00AF7003">
            <w:pPr>
              <w:spacing w:after="180"/>
              <w:jc w:val="center"/>
              <w:rPr>
                <w:sz w:val="20"/>
                <w:szCs w:val="20"/>
              </w:rPr>
            </w:pPr>
            <w:r w:rsidRPr="00396B0D">
              <w:rPr>
                <w:sz w:val="20"/>
                <w:szCs w:val="20"/>
              </w:rPr>
              <w:t>25%</w:t>
            </w:r>
          </w:p>
        </w:tc>
      </w:tr>
      <w:tr w:rsidR="00396B0D" w:rsidRPr="00396B0D" w:rsidTr="00396B0D">
        <w:trPr>
          <w:trHeight w:hRule="exact" w:val="288"/>
        </w:trPr>
        <w:tc>
          <w:tcPr>
            <w:tcW w:w="1727" w:type="pct"/>
            <w:shd w:val="clear" w:color="auto" w:fill="auto"/>
            <w:tcMar>
              <w:top w:w="12" w:type="dxa"/>
              <w:left w:w="12" w:type="dxa"/>
              <w:bottom w:w="0" w:type="dxa"/>
              <w:right w:w="12" w:type="dxa"/>
            </w:tcMar>
            <w:vAlign w:val="bottom"/>
            <w:hideMark/>
          </w:tcPr>
          <w:p w:rsidR="00396B0D" w:rsidRPr="00396B0D" w:rsidRDefault="00396B0D" w:rsidP="00396B0D">
            <w:pPr>
              <w:spacing w:after="180"/>
            </w:pPr>
            <w:r w:rsidRPr="00396B0D">
              <w:rPr>
                <w:b/>
                <w:bCs/>
              </w:rPr>
              <w:t>CFLs burning out / breakage</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11.6</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13.2</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15</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15.9</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16.6</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17.2</w:t>
            </w:r>
          </w:p>
        </w:tc>
      </w:tr>
      <w:tr w:rsidR="00396B0D" w:rsidRPr="00396B0D" w:rsidTr="00396B0D">
        <w:trPr>
          <w:trHeight w:hRule="exact" w:val="288"/>
        </w:trPr>
        <w:tc>
          <w:tcPr>
            <w:tcW w:w="1727"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pPr>
            <w:r w:rsidRPr="00396B0D">
              <w:rPr>
                <w:b/>
                <w:bCs/>
              </w:rPr>
              <w:t>as % of installed</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pP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15%</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15%</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15%</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15%</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15%</w:t>
            </w:r>
          </w:p>
        </w:tc>
      </w:tr>
      <w:tr w:rsidR="00396B0D" w:rsidRPr="00396B0D" w:rsidTr="00396B0D">
        <w:trPr>
          <w:trHeight w:hRule="exact" w:val="288"/>
        </w:trPr>
        <w:tc>
          <w:tcPr>
            <w:tcW w:w="1727" w:type="pct"/>
            <w:shd w:val="clear" w:color="auto" w:fill="auto"/>
            <w:tcMar>
              <w:top w:w="12" w:type="dxa"/>
              <w:left w:w="12" w:type="dxa"/>
              <w:bottom w:w="0" w:type="dxa"/>
              <w:right w:w="12" w:type="dxa"/>
            </w:tcMar>
            <w:vAlign w:val="bottom"/>
            <w:hideMark/>
          </w:tcPr>
          <w:p w:rsidR="00396B0D" w:rsidRPr="00396B0D" w:rsidRDefault="00396B0D" w:rsidP="00396B0D">
            <w:pPr>
              <w:spacing w:after="180"/>
            </w:pPr>
            <w:r w:rsidRPr="00396B0D">
              <w:rPr>
                <w:b/>
                <w:bCs/>
              </w:rPr>
              <w:t>CFLs early-replacement</w:t>
            </w:r>
            <w:r w:rsidR="00BF7E42">
              <w:rPr>
                <w:b/>
                <w:bCs/>
              </w:rPr>
              <w:t>s</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7.7</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8.8</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10</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10.6</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11.1</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11.5</w:t>
            </w:r>
          </w:p>
        </w:tc>
      </w:tr>
      <w:tr w:rsidR="00396B0D" w:rsidRPr="00396B0D" w:rsidTr="00396B0D">
        <w:trPr>
          <w:trHeight w:hRule="exact" w:val="288"/>
        </w:trPr>
        <w:tc>
          <w:tcPr>
            <w:tcW w:w="1727"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pPr>
            <w:r w:rsidRPr="00396B0D">
              <w:rPr>
                <w:b/>
                <w:bCs/>
              </w:rPr>
              <w:t>as % of installed</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pP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10%</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10%</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10%</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10%</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10%</w:t>
            </w:r>
          </w:p>
        </w:tc>
      </w:tr>
      <w:tr w:rsidR="00396B0D" w:rsidRPr="00396B0D" w:rsidTr="00396B0D">
        <w:trPr>
          <w:trHeight w:hRule="exact" w:val="288"/>
        </w:trPr>
        <w:tc>
          <w:tcPr>
            <w:tcW w:w="1727" w:type="pct"/>
            <w:shd w:val="clear" w:color="auto" w:fill="auto"/>
            <w:tcMar>
              <w:top w:w="12" w:type="dxa"/>
              <w:left w:w="12" w:type="dxa"/>
              <w:bottom w:w="0" w:type="dxa"/>
              <w:right w:w="12" w:type="dxa"/>
            </w:tcMar>
            <w:vAlign w:val="bottom"/>
            <w:hideMark/>
          </w:tcPr>
          <w:p w:rsidR="00396B0D" w:rsidRPr="00396B0D" w:rsidRDefault="00BF7E42" w:rsidP="00396B0D">
            <w:pPr>
              <w:spacing w:after="180"/>
            </w:pPr>
            <w:r>
              <w:rPr>
                <w:b/>
                <w:bCs/>
              </w:rPr>
              <w:t>Total replaced CFL-to-CFL</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19.3</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22</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25</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26.5</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27.7</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sz w:val="20"/>
                <w:szCs w:val="20"/>
              </w:rPr>
            </w:pPr>
            <w:r w:rsidRPr="00396B0D">
              <w:rPr>
                <w:sz w:val="20"/>
                <w:szCs w:val="20"/>
              </w:rPr>
              <w:t>28.7</w:t>
            </w:r>
          </w:p>
        </w:tc>
      </w:tr>
      <w:tr w:rsidR="00396B0D" w:rsidRPr="00396B0D" w:rsidTr="00396B0D">
        <w:trPr>
          <w:trHeight w:hRule="exact" w:val="288"/>
        </w:trPr>
        <w:tc>
          <w:tcPr>
            <w:tcW w:w="1727" w:type="pct"/>
            <w:shd w:val="clear" w:color="auto" w:fill="auto"/>
            <w:tcMar>
              <w:top w:w="12" w:type="dxa"/>
              <w:left w:w="12" w:type="dxa"/>
              <w:bottom w:w="0" w:type="dxa"/>
              <w:right w:w="12" w:type="dxa"/>
            </w:tcMar>
            <w:vAlign w:val="bottom"/>
            <w:hideMark/>
          </w:tcPr>
          <w:p w:rsidR="00396B0D" w:rsidRPr="00396B0D" w:rsidRDefault="00396B0D" w:rsidP="00BF7E42">
            <w:pPr>
              <w:spacing w:after="180"/>
              <w:jc w:val="center"/>
            </w:pPr>
            <w:r w:rsidRPr="00396B0D">
              <w:rPr>
                <w:b/>
                <w:bCs/>
              </w:rPr>
              <w:t xml:space="preserve">% </w:t>
            </w:r>
            <w:r w:rsidR="00BF7E42">
              <w:rPr>
                <w:b/>
                <w:bCs/>
              </w:rPr>
              <w:t>CFL-to-CFL of</w:t>
            </w:r>
            <w:r w:rsidRPr="00396B0D">
              <w:rPr>
                <w:b/>
                <w:bCs/>
              </w:rPr>
              <w:t xml:space="preserve"> total bought</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62%</w:t>
            </w:r>
          </w:p>
        </w:tc>
        <w:tc>
          <w:tcPr>
            <w:tcW w:w="546"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62%</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80%</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83%</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86%</w:t>
            </w:r>
          </w:p>
        </w:tc>
        <w:tc>
          <w:tcPr>
            <w:tcW w:w="545" w:type="pct"/>
            <w:shd w:val="clear" w:color="auto" w:fill="auto"/>
            <w:tcMar>
              <w:top w:w="12" w:type="dxa"/>
              <w:left w:w="12" w:type="dxa"/>
              <w:bottom w:w="0" w:type="dxa"/>
              <w:right w:w="12" w:type="dxa"/>
            </w:tcMar>
            <w:vAlign w:val="bottom"/>
            <w:hideMark/>
          </w:tcPr>
          <w:p w:rsidR="00396B0D" w:rsidRPr="00396B0D" w:rsidRDefault="00396B0D" w:rsidP="00396B0D">
            <w:pPr>
              <w:spacing w:after="180"/>
              <w:jc w:val="center"/>
              <w:rPr>
                <w:b/>
              </w:rPr>
            </w:pPr>
            <w:r w:rsidRPr="00396B0D">
              <w:rPr>
                <w:b/>
              </w:rPr>
              <w:t>91%</w:t>
            </w:r>
          </w:p>
        </w:tc>
      </w:tr>
    </w:tbl>
    <w:p w:rsidR="00EF7960" w:rsidRDefault="00EF7960" w:rsidP="00166D4A">
      <w:pPr>
        <w:spacing w:after="180"/>
      </w:pPr>
    </w:p>
    <w:p w:rsidR="00EF7960" w:rsidRDefault="00EF7960" w:rsidP="00EF7960">
      <w:pPr>
        <w:pStyle w:val="Caption"/>
        <w:keepNext/>
      </w:pPr>
      <w:bookmarkStart w:id="8" w:name="_Ref419546803"/>
      <w:r>
        <w:t xml:space="preserve">Table </w:t>
      </w:r>
      <w:fldSimple w:instr=" SEQ Table \* ARABIC ">
        <w:r w:rsidR="008D583C">
          <w:rPr>
            <w:noProof/>
          </w:rPr>
          <w:t>6</w:t>
        </w:r>
      </w:fldSimple>
      <w:bookmarkEnd w:id="8"/>
      <w:r>
        <w:t xml:space="preserve"> - Revised Residential CFL Wattage Reduction Ratios</w:t>
      </w:r>
    </w:p>
    <w:p w:rsidR="00EF7960" w:rsidRDefault="00EF7960" w:rsidP="00166D4A">
      <w:pPr>
        <w:spacing w:after="180"/>
      </w:pPr>
      <w:r w:rsidRPr="00EF7960">
        <w:rPr>
          <w:noProof/>
        </w:rPr>
        <w:drawing>
          <wp:inline distT="0" distB="0" distL="0" distR="0" wp14:anchorId="6CD829B8" wp14:editId="3BC5646A">
            <wp:extent cx="5943600" cy="135636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1356366"/>
                    </a:xfrm>
                    <a:prstGeom prst="rect">
                      <a:avLst/>
                    </a:prstGeom>
                    <a:noFill/>
                    <a:ln>
                      <a:noFill/>
                    </a:ln>
                  </pic:spPr>
                </pic:pic>
              </a:graphicData>
            </a:graphic>
          </wp:inline>
        </w:drawing>
      </w:r>
    </w:p>
    <w:p w:rsidR="00905EBC" w:rsidRPr="00166D4A" w:rsidRDefault="00905EBC" w:rsidP="00166D4A">
      <w:pPr>
        <w:keepNext/>
        <w:spacing w:after="180"/>
        <w:rPr>
          <w:b/>
        </w:rPr>
      </w:pPr>
      <w:r w:rsidRPr="00166D4A">
        <w:rPr>
          <w:b/>
        </w:rPr>
        <w:lastRenderedPageBreak/>
        <w:t>Net-to-Gross Ratio</w:t>
      </w:r>
    </w:p>
    <w:p w:rsidR="00B948DF" w:rsidRDefault="00905EBC" w:rsidP="00166D4A">
      <w:pPr>
        <w:spacing w:after="180"/>
      </w:pPr>
      <w:r>
        <w:t xml:space="preserve">As discussed above, WO28 ex post NTG results assume that all CFL-to-CFL replacements should be considered in the development of NTG rather than the determination of gross savings. WO28 investigated the likelihood that, on burnout, a socket with a CFL would revert to an incandescent lamp. Those sockets that would not revert if program lamps were not available were considered free-riders, and served to reduce the NTG value. The </w:t>
      </w:r>
      <w:proofErr w:type="spellStart"/>
      <w:r w:rsidR="006C0451">
        <w:t>ex ante</w:t>
      </w:r>
      <w:proofErr w:type="spellEnd"/>
      <w:r>
        <w:t xml:space="preserve"> team </w:t>
      </w:r>
      <w:r w:rsidR="00EF7960">
        <w:t>recommends</w:t>
      </w:r>
      <w:r>
        <w:t xml:space="preserve"> that the CFL-to-CFL replacements that would not revert are indication of market transformation and that these purchasers should be included in the gross savings calculation with zero </w:t>
      </w:r>
      <w:r w:rsidR="00252FE7">
        <w:t xml:space="preserve">gross </w:t>
      </w:r>
      <w:r>
        <w:t xml:space="preserve">savings. </w:t>
      </w:r>
      <w:r w:rsidR="007677F1">
        <w:t>Any reallocation of savings from NTG to gross savings, in consideration of CFL-to-CFL replacements will result in reduced gross savings and increased NTG values.</w:t>
      </w:r>
      <w:r w:rsidR="00EF7960">
        <w:t xml:space="preserve"> The current DEER NTG is 0.54. Moving 40% of CFL-to-CFL replacements means that the NTG needs to be raised by </w:t>
      </w:r>
      <w:r w:rsidR="00252FE7">
        <w:t>a similar</w:t>
      </w:r>
      <w:r w:rsidR="00EF7960">
        <w:t xml:space="preserve"> am</w:t>
      </w:r>
      <w:r w:rsidR="00252FE7">
        <w:t>ount. To develop a new NTG value the CPUC adopted 5% market effects adder for all program from 2013 forward</w:t>
      </w:r>
      <w:r w:rsidR="009069CD">
        <w:t xml:space="preserve"> must be considered</w:t>
      </w:r>
      <w:r w:rsidR="00252FE7">
        <w:t xml:space="preserve">. </w:t>
      </w:r>
      <w:r w:rsidR="00EF7960">
        <w:t xml:space="preserve"> </w:t>
      </w:r>
      <w:r w:rsidR="009069CD">
        <w:t>The calculation above already allocate</w:t>
      </w:r>
      <w:r w:rsidR="00506DE1">
        <w:t>s</w:t>
      </w:r>
      <w:r w:rsidR="009069CD">
        <w:t xml:space="preserve"> all saturation increase to the program activity, so there is no remaining gross saturation increase to allocate to the program via the market effects. This would indicate that the NTG value, before the market effects adder, should only be increased by 40% minus the adder. However, the </w:t>
      </w:r>
      <w:r w:rsidR="00E5173E">
        <w:t>ex-ante</w:t>
      </w:r>
      <w:r w:rsidR="009069CD">
        <w:t xml:space="preserve"> team believes </w:t>
      </w:r>
      <w:r w:rsidR="00506DE1">
        <w:t>20% (0.01)</w:t>
      </w:r>
      <w:r w:rsidR="009069CD">
        <w:t xml:space="preserve"> of that market effect adder</w:t>
      </w:r>
      <w:r w:rsidR="00497977">
        <w:t xml:space="preserve"> should be retained</w:t>
      </w:r>
      <w:r w:rsidR="009069CD">
        <w:t xml:space="preserve"> </w:t>
      </w:r>
      <w:r w:rsidR="00EF7960">
        <w:t>resulting in a recommended NTG value of 0.9</w:t>
      </w:r>
      <w:r w:rsidR="009069CD">
        <w:t>0</w:t>
      </w:r>
      <w:r w:rsidR="00497977">
        <w:t xml:space="preserve"> (.54+</w:t>
      </w:r>
      <w:r w:rsidR="00EF7960">
        <w:t>.</w:t>
      </w:r>
      <w:r w:rsidR="00497977">
        <w:t>40-.0</w:t>
      </w:r>
      <w:r w:rsidR="00506DE1">
        <w:t>4</w:t>
      </w:r>
      <w:r w:rsidR="00497977">
        <w:t xml:space="preserve">). </w:t>
      </w:r>
    </w:p>
    <w:p w:rsidR="007677F1" w:rsidRPr="00166D4A" w:rsidRDefault="007677F1" w:rsidP="00166D4A">
      <w:pPr>
        <w:spacing w:after="180"/>
        <w:rPr>
          <w:b/>
        </w:rPr>
      </w:pPr>
      <w:r w:rsidRPr="00166D4A">
        <w:rPr>
          <w:b/>
        </w:rPr>
        <w:t>Effective Useful Life</w:t>
      </w:r>
    </w:p>
    <w:p w:rsidR="001F6406" w:rsidRDefault="007677F1" w:rsidP="00166D4A">
      <w:pPr>
        <w:spacing w:after="180"/>
      </w:pPr>
      <w:r>
        <w:t xml:space="preserve">The high CFL-to-CFL replacement rate also indicates a reduction in the EUL for residential installations. </w:t>
      </w:r>
      <w:r w:rsidR="001F6406">
        <w:t xml:space="preserve">DEER currently uses a EUL value calculated from the lamp “adjusted” rated life hours divided by the annual DEER HOU for the lamp.  Using a typical rated life of 10,000 hours together with the </w:t>
      </w:r>
      <w:r w:rsidR="00490041">
        <w:t>DEER H</w:t>
      </w:r>
      <w:r w:rsidR="001F6406">
        <w:t>OU rated life adjustment and the DEER residential interior HOU, t</w:t>
      </w:r>
      <w:r>
        <w:t xml:space="preserve">he current DEER EUL </w:t>
      </w:r>
      <w:r w:rsidR="001F6406">
        <w:t>works out to</w:t>
      </w:r>
      <w:r>
        <w:t xml:space="preserve"> an approximate CFL burnout rate of </w:t>
      </w:r>
      <w:r w:rsidR="00D0232F">
        <w:t>7</w:t>
      </w:r>
      <w:r>
        <w:t xml:space="preserve">% </w:t>
      </w:r>
      <w:r w:rsidR="00D0232F">
        <w:t xml:space="preserve">or less </w:t>
      </w:r>
      <w:r>
        <w:t>per year</w:t>
      </w:r>
      <w:r w:rsidR="001F6406">
        <w:t xml:space="preserve">. </w:t>
      </w:r>
      <w:r>
        <w:t>However, the higher replacement rates from the WO28 analysis indicate a much higher burnout rate of about 25% per year.</w:t>
      </w:r>
      <w:r w:rsidR="001F6406">
        <w:t xml:space="preserve"> This is the first time successive large field observation samples of residential CFL saturation rates have been available to perform a estimation of CFL survival rates and thus a projection to observed EUL. The </w:t>
      </w:r>
      <w:proofErr w:type="spellStart"/>
      <w:r w:rsidR="001F6406">
        <w:t>ex ante</w:t>
      </w:r>
      <w:proofErr w:type="spellEnd"/>
      <w:r w:rsidR="001F6406">
        <w:t xml:space="preserve"> team prefers the use of field observation to laboratory technical potential to estimate EUL values.</w:t>
      </w:r>
    </w:p>
    <w:p w:rsidR="00B948DF" w:rsidRDefault="007677F1" w:rsidP="00166D4A">
      <w:pPr>
        <w:spacing w:after="180"/>
      </w:pPr>
      <w:r>
        <w:t xml:space="preserve"> </w:t>
      </w:r>
      <w:r w:rsidR="00D0232F">
        <w:fldChar w:fldCharType="begin"/>
      </w:r>
      <w:r w:rsidR="00D0232F">
        <w:instrText xml:space="preserve"> REF _Ref419652740 \h </w:instrText>
      </w:r>
      <w:r w:rsidR="00D0232F">
        <w:fldChar w:fldCharType="separate"/>
      </w:r>
      <w:r w:rsidR="00D0232F">
        <w:t xml:space="preserve">Table </w:t>
      </w:r>
      <w:r w:rsidR="00D0232F">
        <w:rPr>
          <w:noProof/>
        </w:rPr>
        <w:t>6</w:t>
      </w:r>
      <w:r w:rsidR="00D0232F">
        <w:fldChar w:fldCharType="end"/>
      </w:r>
      <w:r w:rsidR="00D0232F">
        <w:t xml:space="preserve"> s</w:t>
      </w:r>
      <w:r>
        <w:t>hows the surviving percentages of installed CFLs based on 25%</w:t>
      </w:r>
      <w:r w:rsidR="00D0232F">
        <w:t>, 1</w:t>
      </w:r>
      <w:r w:rsidR="008F5E8D">
        <w:t>8</w:t>
      </w:r>
      <w:r w:rsidR="00D0232F">
        <w:t>% and</w:t>
      </w:r>
      <w:r>
        <w:t xml:space="preserve"> </w:t>
      </w:r>
      <w:r w:rsidR="00D0232F">
        <w:t xml:space="preserve">7% annual </w:t>
      </w:r>
      <w:r>
        <w:t xml:space="preserve">replacement rates. </w:t>
      </w:r>
      <w:r w:rsidR="00D10282">
        <w:t xml:space="preserve">Using </w:t>
      </w:r>
      <w:r w:rsidR="00D0232F">
        <w:t>the WO28 model assumption of a total annual</w:t>
      </w:r>
      <w:r w:rsidR="00D10282">
        <w:t xml:space="preserve"> replacement rate of 25% would reduce the EUL</w:t>
      </w:r>
      <w:r w:rsidR="00D0232F">
        <w:t xml:space="preserve"> substantially;</w:t>
      </w:r>
      <w:r w:rsidR="00D10282">
        <w:t xml:space="preserve"> the point at which 50% of the original installed measures are still in service,</w:t>
      </w:r>
      <w:r w:rsidR="001F6406">
        <w:t xml:space="preserve"> is</w:t>
      </w:r>
      <w:r w:rsidR="00D10282">
        <w:t xml:space="preserve"> </w:t>
      </w:r>
      <w:r w:rsidR="001F6406">
        <w:t>between two and three</w:t>
      </w:r>
      <w:r w:rsidR="00D10282">
        <w:t xml:space="preserve"> years.</w:t>
      </w:r>
      <w:r w:rsidR="00074F7B">
        <w:t xml:space="preserve"> </w:t>
      </w:r>
      <w:r w:rsidR="001F6406">
        <w:t>A</w:t>
      </w:r>
      <w:r w:rsidR="008F5E8D">
        <w:t>n</w:t>
      </w:r>
      <w:r w:rsidR="001F6406">
        <w:t xml:space="preserve"> 1</w:t>
      </w:r>
      <w:r w:rsidR="008F5E8D">
        <w:t>8</w:t>
      </w:r>
      <w:r w:rsidR="001F6406">
        <w:t xml:space="preserve">% annual replacement rate provides </w:t>
      </w:r>
      <w:r w:rsidR="008F5E8D">
        <w:t>a</w:t>
      </w:r>
      <w:r w:rsidR="001F6406">
        <w:t xml:space="preserve"> EUL of </w:t>
      </w:r>
      <w:r w:rsidR="008F5E8D">
        <w:t>approximately three and one half years</w:t>
      </w:r>
      <w:r w:rsidR="001F6406">
        <w:t xml:space="preserve">. By contrast a 7% annual replacement rate provides for </w:t>
      </w:r>
      <w:r w:rsidR="008F5E8D">
        <w:t>a</w:t>
      </w:r>
      <w:r w:rsidR="001F6406">
        <w:t xml:space="preserve"> EUL </w:t>
      </w:r>
      <w:r w:rsidR="00C97C3A">
        <w:t>slightly</w:t>
      </w:r>
      <w:r w:rsidR="001F6406">
        <w:t xml:space="preserve"> over nine years. </w:t>
      </w:r>
      <w:r w:rsidR="00074F7B">
        <w:t>At this time, the EAR team recommends revising the EUL of residential CFLs to be</w:t>
      </w:r>
      <w:r w:rsidR="00C97C3A">
        <w:t xml:space="preserve"> three and one half (3.5)</w:t>
      </w:r>
      <w:r w:rsidR="00074F7B">
        <w:t xml:space="preserve"> years.</w:t>
      </w:r>
      <w:r w:rsidR="00C97C3A">
        <w:t xml:space="preserve"> This value represents an annual replacement rate of approximately 18% which is much less than the WO 28 analysis assumes but seems a reasonable compromise between unsupportable past DEER assumption and the rather pessimistic but data supported WO28 assumption.</w:t>
      </w:r>
    </w:p>
    <w:p w:rsidR="00C97C3A" w:rsidRDefault="00C97C3A" w:rsidP="00166D4A">
      <w:pPr>
        <w:spacing w:after="180"/>
      </w:pPr>
    </w:p>
    <w:p w:rsidR="00D0232F" w:rsidRDefault="00D10282" w:rsidP="00D0232F">
      <w:pPr>
        <w:pStyle w:val="Caption"/>
        <w:keepNext/>
      </w:pPr>
      <w:bookmarkStart w:id="9" w:name="_Ref419652740"/>
      <w:r>
        <w:lastRenderedPageBreak/>
        <w:t xml:space="preserve">Table </w:t>
      </w:r>
      <w:fldSimple w:instr=" SEQ Table \* ARABIC ">
        <w:r w:rsidR="008D583C">
          <w:rPr>
            <w:noProof/>
          </w:rPr>
          <w:t>7</w:t>
        </w:r>
      </w:fldSimple>
      <w:bookmarkEnd w:id="9"/>
      <w:r>
        <w:t xml:space="preserve"> - Years to Reach 50% Survival at Different CFL Replacement Rates</w:t>
      </w:r>
    </w:p>
    <w:p w:rsidR="008F5E8D" w:rsidRPr="00B948DF" w:rsidRDefault="008F5E8D" w:rsidP="00166D4A">
      <w:pPr>
        <w:spacing w:after="180"/>
      </w:pPr>
    </w:p>
    <w:tbl>
      <w:tblPr>
        <w:tblW w:w="384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0"/>
        <w:gridCol w:w="881"/>
        <w:gridCol w:w="708"/>
        <w:gridCol w:w="1292"/>
      </w:tblGrid>
      <w:tr w:rsidR="008F5E8D" w:rsidRPr="008F5E8D" w:rsidTr="008F5E8D">
        <w:trPr>
          <w:trHeight w:val="288"/>
          <w:jc w:val="center"/>
        </w:trPr>
        <w:tc>
          <w:tcPr>
            <w:tcW w:w="960" w:type="dxa"/>
            <w:shd w:val="clear" w:color="auto" w:fill="auto"/>
            <w:noWrap/>
            <w:vAlign w:val="bottom"/>
            <w:hideMark/>
          </w:tcPr>
          <w:p w:rsidR="008F5E8D" w:rsidRPr="008F5E8D" w:rsidRDefault="008F5E8D" w:rsidP="008F5E8D">
            <w:pPr>
              <w:spacing w:after="0" w:line="240" w:lineRule="auto"/>
              <w:rPr>
                <w:rFonts w:ascii="Times New Roman" w:eastAsia="Times New Roman" w:hAnsi="Times New Roman" w:cs="Times New Roman"/>
                <w:sz w:val="24"/>
                <w:szCs w:val="24"/>
              </w:rPr>
            </w:pPr>
          </w:p>
        </w:tc>
        <w:tc>
          <w:tcPr>
            <w:tcW w:w="2880" w:type="dxa"/>
            <w:gridSpan w:val="3"/>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r w:rsidRPr="008F5E8D">
              <w:rPr>
                <w:rFonts w:ascii="Calibri" w:eastAsia="Times New Roman" w:hAnsi="Calibri" w:cs="Times New Roman"/>
                <w:b/>
                <w:bCs/>
                <w:color w:val="000000"/>
              </w:rPr>
              <w:t>Replacement Rate</w:t>
            </w:r>
          </w:p>
        </w:tc>
      </w:tr>
      <w:tr w:rsidR="008F5E8D" w:rsidRPr="008F5E8D" w:rsidTr="008F5E8D">
        <w:trPr>
          <w:trHeight w:val="288"/>
          <w:jc w:val="center"/>
        </w:trPr>
        <w:tc>
          <w:tcPr>
            <w:tcW w:w="960"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p>
        </w:tc>
        <w:tc>
          <w:tcPr>
            <w:tcW w:w="881"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r w:rsidRPr="008F5E8D">
              <w:rPr>
                <w:rFonts w:ascii="Calibri" w:eastAsia="Times New Roman" w:hAnsi="Calibri" w:cs="Times New Roman"/>
                <w:b/>
                <w:bCs/>
                <w:color w:val="000000"/>
              </w:rPr>
              <w:t>WO 28</w:t>
            </w:r>
          </w:p>
        </w:tc>
        <w:tc>
          <w:tcPr>
            <w:tcW w:w="707"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p>
        </w:tc>
        <w:tc>
          <w:tcPr>
            <w:tcW w:w="1292"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r w:rsidRPr="008F5E8D">
              <w:rPr>
                <w:rFonts w:ascii="Calibri" w:eastAsia="Times New Roman" w:hAnsi="Calibri" w:cs="Times New Roman"/>
                <w:b/>
                <w:bCs/>
                <w:color w:val="000000"/>
              </w:rPr>
              <w:t>DEER2011</w:t>
            </w:r>
          </w:p>
        </w:tc>
      </w:tr>
      <w:tr w:rsidR="008F5E8D" w:rsidRPr="008F5E8D" w:rsidTr="008F5E8D">
        <w:trPr>
          <w:trHeight w:val="288"/>
          <w:jc w:val="center"/>
        </w:trPr>
        <w:tc>
          <w:tcPr>
            <w:tcW w:w="960"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p>
        </w:tc>
        <w:tc>
          <w:tcPr>
            <w:tcW w:w="881"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25%</w:t>
            </w:r>
          </w:p>
        </w:tc>
        <w:tc>
          <w:tcPr>
            <w:tcW w:w="707"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18%</w:t>
            </w:r>
          </w:p>
        </w:tc>
        <w:tc>
          <w:tcPr>
            <w:tcW w:w="1292"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7%</w:t>
            </w:r>
          </w:p>
        </w:tc>
      </w:tr>
      <w:tr w:rsidR="008F5E8D" w:rsidRPr="008F5E8D" w:rsidTr="008F5E8D">
        <w:trPr>
          <w:trHeight w:val="288"/>
          <w:jc w:val="center"/>
        </w:trPr>
        <w:tc>
          <w:tcPr>
            <w:tcW w:w="960"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p>
        </w:tc>
        <w:tc>
          <w:tcPr>
            <w:tcW w:w="881" w:type="dxa"/>
            <w:shd w:val="clear" w:color="auto" w:fill="auto"/>
            <w:noWrap/>
            <w:vAlign w:val="bottom"/>
            <w:hideMark/>
          </w:tcPr>
          <w:p w:rsidR="008F5E8D" w:rsidRPr="008F5E8D" w:rsidRDefault="008F5E8D" w:rsidP="008F5E8D">
            <w:pPr>
              <w:spacing w:after="0" w:line="240" w:lineRule="auto"/>
              <w:rPr>
                <w:rFonts w:ascii="Times New Roman" w:eastAsia="Times New Roman" w:hAnsi="Times New Roman" w:cs="Times New Roman"/>
                <w:sz w:val="20"/>
                <w:szCs w:val="20"/>
              </w:rPr>
            </w:pPr>
          </w:p>
        </w:tc>
        <w:tc>
          <w:tcPr>
            <w:tcW w:w="707" w:type="dxa"/>
            <w:shd w:val="clear" w:color="auto" w:fill="auto"/>
            <w:noWrap/>
            <w:vAlign w:val="bottom"/>
            <w:hideMark/>
          </w:tcPr>
          <w:p w:rsidR="008F5E8D" w:rsidRPr="008F5E8D" w:rsidRDefault="008F5E8D" w:rsidP="008F5E8D">
            <w:pPr>
              <w:spacing w:after="0" w:line="240" w:lineRule="auto"/>
              <w:rPr>
                <w:rFonts w:ascii="Times New Roman" w:eastAsia="Times New Roman" w:hAnsi="Times New Roman" w:cs="Times New Roman"/>
                <w:sz w:val="20"/>
                <w:szCs w:val="20"/>
              </w:rPr>
            </w:pPr>
          </w:p>
        </w:tc>
        <w:tc>
          <w:tcPr>
            <w:tcW w:w="1292" w:type="dxa"/>
            <w:shd w:val="clear" w:color="auto" w:fill="auto"/>
            <w:noWrap/>
            <w:vAlign w:val="bottom"/>
            <w:hideMark/>
          </w:tcPr>
          <w:p w:rsidR="008F5E8D" w:rsidRPr="008F5E8D" w:rsidRDefault="008F5E8D" w:rsidP="008F5E8D">
            <w:pPr>
              <w:spacing w:after="0" w:line="240" w:lineRule="auto"/>
              <w:rPr>
                <w:rFonts w:ascii="Times New Roman" w:eastAsia="Times New Roman" w:hAnsi="Times New Roman" w:cs="Times New Roman"/>
                <w:sz w:val="20"/>
                <w:szCs w:val="20"/>
              </w:rPr>
            </w:pPr>
          </w:p>
        </w:tc>
      </w:tr>
      <w:tr w:rsidR="008F5E8D" w:rsidRPr="008F5E8D" w:rsidTr="008F5E8D">
        <w:trPr>
          <w:trHeight w:val="288"/>
          <w:jc w:val="center"/>
        </w:trPr>
        <w:tc>
          <w:tcPr>
            <w:tcW w:w="960"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r w:rsidRPr="008F5E8D">
              <w:rPr>
                <w:rFonts w:ascii="Calibri" w:eastAsia="Times New Roman" w:hAnsi="Calibri" w:cs="Times New Roman"/>
                <w:b/>
                <w:bCs/>
                <w:color w:val="000000"/>
              </w:rPr>
              <w:t>Year</w:t>
            </w:r>
          </w:p>
        </w:tc>
        <w:tc>
          <w:tcPr>
            <w:tcW w:w="2880" w:type="dxa"/>
            <w:gridSpan w:val="3"/>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r w:rsidRPr="008F5E8D">
              <w:rPr>
                <w:rFonts w:ascii="Calibri" w:eastAsia="Times New Roman" w:hAnsi="Calibri" w:cs="Times New Roman"/>
                <w:b/>
                <w:bCs/>
                <w:color w:val="000000"/>
              </w:rPr>
              <w:t>Surviving Percent</w:t>
            </w:r>
          </w:p>
        </w:tc>
      </w:tr>
      <w:tr w:rsidR="008F5E8D" w:rsidRPr="008F5E8D" w:rsidTr="008F5E8D">
        <w:trPr>
          <w:trHeight w:val="288"/>
          <w:jc w:val="center"/>
        </w:trPr>
        <w:tc>
          <w:tcPr>
            <w:tcW w:w="960"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r w:rsidRPr="008F5E8D">
              <w:rPr>
                <w:rFonts w:ascii="Calibri" w:eastAsia="Times New Roman" w:hAnsi="Calibri" w:cs="Times New Roman"/>
                <w:b/>
                <w:bCs/>
                <w:color w:val="000000"/>
              </w:rPr>
              <w:t>0</w:t>
            </w:r>
          </w:p>
        </w:tc>
        <w:tc>
          <w:tcPr>
            <w:tcW w:w="881"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100%</w:t>
            </w:r>
          </w:p>
        </w:tc>
        <w:tc>
          <w:tcPr>
            <w:tcW w:w="707"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100%</w:t>
            </w:r>
          </w:p>
        </w:tc>
        <w:tc>
          <w:tcPr>
            <w:tcW w:w="1292"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100%</w:t>
            </w:r>
          </w:p>
        </w:tc>
      </w:tr>
      <w:tr w:rsidR="008F5E8D" w:rsidRPr="008F5E8D" w:rsidTr="008F5E8D">
        <w:trPr>
          <w:trHeight w:val="288"/>
          <w:jc w:val="center"/>
        </w:trPr>
        <w:tc>
          <w:tcPr>
            <w:tcW w:w="960"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r w:rsidRPr="008F5E8D">
              <w:rPr>
                <w:rFonts w:ascii="Calibri" w:eastAsia="Times New Roman" w:hAnsi="Calibri" w:cs="Times New Roman"/>
                <w:b/>
                <w:bCs/>
                <w:color w:val="000000"/>
              </w:rPr>
              <w:t>1</w:t>
            </w:r>
          </w:p>
        </w:tc>
        <w:tc>
          <w:tcPr>
            <w:tcW w:w="881"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75%</w:t>
            </w:r>
          </w:p>
        </w:tc>
        <w:tc>
          <w:tcPr>
            <w:tcW w:w="707"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82%</w:t>
            </w:r>
          </w:p>
        </w:tc>
        <w:tc>
          <w:tcPr>
            <w:tcW w:w="1292"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93%</w:t>
            </w:r>
          </w:p>
        </w:tc>
      </w:tr>
      <w:tr w:rsidR="008F5E8D" w:rsidRPr="008F5E8D" w:rsidTr="008F5E8D">
        <w:trPr>
          <w:trHeight w:val="288"/>
          <w:jc w:val="center"/>
        </w:trPr>
        <w:tc>
          <w:tcPr>
            <w:tcW w:w="960"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r w:rsidRPr="008F5E8D">
              <w:rPr>
                <w:rFonts w:ascii="Calibri" w:eastAsia="Times New Roman" w:hAnsi="Calibri" w:cs="Times New Roman"/>
                <w:b/>
                <w:bCs/>
                <w:color w:val="000000"/>
              </w:rPr>
              <w:t>2</w:t>
            </w:r>
          </w:p>
        </w:tc>
        <w:tc>
          <w:tcPr>
            <w:tcW w:w="881"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FF0000"/>
              </w:rPr>
            </w:pPr>
            <w:r w:rsidRPr="008F5E8D">
              <w:rPr>
                <w:rFonts w:ascii="Calibri" w:eastAsia="Times New Roman" w:hAnsi="Calibri" w:cs="Times New Roman"/>
                <w:b/>
                <w:bCs/>
                <w:color w:val="FF0000"/>
              </w:rPr>
              <w:t>56%</w:t>
            </w:r>
          </w:p>
        </w:tc>
        <w:tc>
          <w:tcPr>
            <w:tcW w:w="707"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67%</w:t>
            </w:r>
          </w:p>
        </w:tc>
        <w:tc>
          <w:tcPr>
            <w:tcW w:w="1292"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86%</w:t>
            </w:r>
          </w:p>
        </w:tc>
      </w:tr>
      <w:tr w:rsidR="008F5E8D" w:rsidRPr="008F5E8D" w:rsidTr="008F5E8D">
        <w:trPr>
          <w:trHeight w:val="288"/>
          <w:jc w:val="center"/>
        </w:trPr>
        <w:tc>
          <w:tcPr>
            <w:tcW w:w="960"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r w:rsidRPr="008F5E8D">
              <w:rPr>
                <w:rFonts w:ascii="Calibri" w:eastAsia="Times New Roman" w:hAnsi="Calibri" w:cs="Times New Roman"/>
                <w:b/>
                <w:bCs/>
                <w:color w:val="000000"/>
              </w:rPr>
              <w:t>3</w:t>
            </w:r>
          </w:p>
        </w:tc>
        <w:tc>
          <w:tcPr>
            <w:tcW w:w="881"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FF0000"/>
              </w:rPr>
            </w:pPr>
            <w:r w:rsidRPr="008F5E8D">
              <w:rPr>
                <w:rFonts w:ascii="Calibri" w:eastAsia="Times New Roman" w:hAnsi="Calibri" w:cs="Times New Roman"/>
                <w:b/>
                <w:bCs/>
                <w:color w:val="FF0000"/>
              </w:rPr>
              <w:t>42%</w:t>
            </w:r>
          </w:p>
        </w:tc>
        <w:tc>
          <w:tcPr>
            <w:tcW w:w="707"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FF0000"/>
              </w:rPr>
            </w:pPr>
            <w:r w:rsidRPr="008F5E8D">
              <w:rPr>
                <w:rFonts w:ascii="Calibri" w:eastAsia="Times New Roman" w:hAnsi="Calibri" w:cs="Times New Roman"/>
                <w:b/>
                <w:bCs/>
                <w:color w:val="FF0000"/>
              </w:rPr>
              <w:t>55%</w:t>
            </w:r>
          </w:p>
        </w:tc>
        <w:tc>
          <w:tcPr>
            <w:tcW w:w="1292"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80%</w:t>
            </w:r>
          </w:p>
        </w:tc>
      </w:tr>
      <w:tr w:rsidR="008F5E8D" w:rsidRPr="008F5E8D" w:rsidTr="008F5E8D">
        <w:trPr>
          <w:trHeight w:val="288"/>
          <w:jc w:val="center"/>
        </w:trPr>
        <w:tc>
          <w:tcPr>
            <w:tcW w:w="960"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r w:rsidRPr="008F5E8D">
              <w:rPr>
                <w:rFonts w:ascii="Calibri" w:eastAsia="Times New Roman" w:hAnsi="Calibri" w:cs="Times New Roman"/>
                <w:b/>
                <w:bCs/>
                <w:color w:val="000000"/>
              </w:rPr>
              <w:t>4</w:t>
            </w:r>
          </w:p>
        </w:tc>
        <w:tc>
          <w:tcPr>
            <w:tcW w:w="881"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32%</w:t>
            </w:r>
          </w:p>
        </w:tc>
        <w:tc>
          <w:tcPr>
            <w:tcW w:w="707"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FF0000"/>
              </w:rPr>
            </w:pPr>
            <w:r w:rsidRPr="008F5E8D">
              <w:rPr>
                <w:rFonts w:ascii="Calibri" w:eastAsia="Times New Roman" w:hAnsi="Calibri" w:cs="Times New Roman"/>
                <w:b/>
                <w:bCs/>
                <w:color w:val="FF0000"/>
              </w:rPr>
              <w:t>45%</w:t>
            </w:r>
          </w:p>
        </w:tc>
        <w:tc>
          <w:tcPr>
            <w:tcW w:w="1292"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rPr>
            </w:pPr>
            <w:r w:rsidRPr="008F5E8D">
              <w:rPr>
                <w:rFonts w:ascii="Calibri" w:eastAsia="Times New Roman" w:hAnsi="Calibri" w:cs="Times New Roman"/>
              </w:rPr>
              <w:t>75%</w:t>
            </w:r>
          </w:p>
        </w:tc>
      </w:tr>
      <w:tr w:rsidR="008F5E8D" w:rsidRPr="008F5E8D" w:rsidTr="008F5E8D">
        <w:trPr>
          <w:trHeight w:val="288"/>
          <w:jc w:val="center"/>
        </w:trPr>
        <w:tc>
          <w:tcPr>
            <w:tcW w:w="960"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r w:rsidRPr="008F5E8D">
              <w:rPr>
                <w:rFonts w:ascii="Calibri" w:eastAsia="Times New Roman" w:hAnsi="Calibri" w:cs="Times New Roman"/>
                <w:b/>
                <w:bCs/>
                <w:color w:val="000000"/>
              </w:rPr>
              <w:t>5</w:t>
            </w:r>
          </w:p>
        </w:tc>
        <w:tc>
          <w:tcPr>
            <w:tcW w:w="881"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24%</w:t>
            </w:r>
          </w:p>
        </w:tc>
        <w:tc>
          <w:tcPr>
            <w:tcW w:w="707"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37%</w:t>
            </w:r>
          </w:p>
        </w:tc>
        <w:tc>
          <w:tcPr>
            <w:tcW w:w="1292"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70%</w:t>
            </w:r>
          </w:p>
        </w:tc>
      </w:tr>
      <w:tr w:rsidR="008F5E8D" w:rsidRPr="008F5E8D" w:rsidTr="008F5E8D">
        <w:trPr>
          <w:trHeight w:val="288"/>
          <w:jc w:val="center"/>
        </w:trPr>
        <w:tc>
          <w:tcPr>
            <w:tcW w:w="960"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r w:rsidRPr="008F5E8D">
              <w:rPr>
                <w:rFonts w:ascii="Calibri" w:eastAsia="Times New Roman" w:hAnsi="Calibri" w:cs="Times New Roman"/>
                <w:b/>
                <w:bCs/>
                <w:color w:val="000000"/>
              </w:rPr>
              <w:t>6</w:t>
            </w:r>
          </w:p>
        </w:tc>
        <w:tc>
          <w:tcPr>
            <w:tcW w:w="881"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18%</w:t>
            </w:r>
          </w:p>
        </w:tc>
        <w:tc>
          <w:tcPr>
            <w:tcW w:w="707"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30%</w:t>
            </w:r>
          </w:p>
        </w:tc>
        <w:tc>
          <w:tcPr>
            <w:tcW w:w="1292"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65%</w:t>
            </w:r>
          </w:p>
        </w:tc>
      </w:tr>
      <w:tr w:rsidR="008F5E8D" w:rsidRPr="008F5E8D" w:rsidTr="008F5E8D">
        <w:trPr>
          <w:trHeight w:val="288"/>
          <w:jc w:val="center"/>
        </w:trPr>
        <w:tc>
          <w:tcPr>
            <w:tcW w:w="960"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r w:rsidRPr="008F5E8D">
              <w:rPr>
                <w:rFonts w:ascii="Calibri" w:eastAsia="Times New Roman" w:hAnsi="Calibri" w:cs="Times New Roman"/>
                <w:b/>
                <w:bCs/>
                <w:color w:val="000000"/>
              </w:rPr>
              <w:t>7</w:t>
            </w:r>
          </w:p>
        </w:tc>
        <w:tc>
          <w:tcPr>
            <w:tcW w:w="881"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13%</w:t>
            </w:r>
          </w:p>
        </w:tc>
        <w:tc>
          <w:tcPr>
            <w:tcW w:w="707"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25%</w:t>
            </w:r>
          </w:p>
        </w:tc>
        <w:tc>
          <w:tcPr>
            <w:tcW w:w="1292"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60%</w:t>
            </w:r>
          </w:p>
        </w:tc>
      </w:tr>
      <w:tr w:rsidR="008F5E8D" w:rsidRPr="008F5E8D" w:rsidTr="008F5E8D">
        <w:trPr>
          <w:trHeight w:val="288"/>
          <w:jc w:val="center"/>
        </w:trPr>
        <w:tc>
          <w:tcPr>
            <w:tcW w:w="960"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r w:rsidRPr="008F5E8D">
              <w:rPr>
                <w:rFonts w:ascii="Calibri" w:eastAsia="Times New Roman" w:hAnsi="Calibri" w:cs="Times New Roman"/>
                <w:b/>
                <w:bCs/>
                <w:color w:val="000000"/>
              </w:rPr>
              <w:t>8</w:t>
            </w:r>
          </w:p>
        </w:tc>
        <w:tc>
          <w:tcPr>
            <w:tcW w:w="881"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10%</w:t>
            </w:r>
          </w:p>
        </w:tc>
        <w:tc>
          <w:tcPr>
            <w:tcW w:w="707"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20%</w:t>
            </w:r>
          </w:p>
        </w:tc>
        <w:tc>
          <w:tcPr>
            <w:tcW w:w="1292"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56%</w:t>
            </w:r>
          </w:p>
        </w:tc>
      </w:tr>
      <w:tr w:rsidR="008F5E8D" w:rsidRPr="008F5E8D" w:rsidTr="008F5E8D">
        <w:trPr>
          <w:trHeight w:val="288"/>
          <w:jc w:val="center"/>
        </w:trPr>
        <w:tc>
          <w:tcPr>
            <w:tcW w:w="960"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r w:rsidRPr="008F5E8D">
              <w:rPr>
                <w:rFonts w:ascii="Calibri" w:eastAsia="Times New Roman" w:hAnsi="Calibri" w:cs="Times New Roman"/>
                <w:b/>
                <w:bCs/>
                <w:color w:val="000000"/>
              </w:rPr>
              <w:t>9</w:t>
            </w:r>
          </w:p>
        </w:tc>
        <w:tc>
          <w:tcPr>
            <w:tcW w:w="881"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8%</w:t>
            </w:r>
          </w:p>
        </w:tc>
        <w:tc>
          <w:tcPr>
            <w:tcW w:w="707"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17%</w:t>
            </w:r>
          </w:p>
        </w:tc>
        <w:tc>
          <w:tcPr>
            <w:tcW w:w="1292"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FF0000"/>
              </w:rPr>
            </w:pPr>
            <w:r w:rsidRPr="008F5E8D">
              <w:rPr>
                <w:rFonts w:ascii="Calibri" w:eastAsia="Times New Roman" w:hAnsi="Calibri" w:cs="Times New Roman"/>
                <w:b/>
                <w:bCs/>
                <w:color w:val="FF0000"/>
              </w:rPr>
              <w:t>52%</w:t>
            </w:r>
          </w:p>
        </w:tc>
      </w:tr>
      <w:tr w:rsidR="008F5E8D" w:rsidRPr="008F5E8D" w:rsidTr="008F5E8D">
        <w:trPr>
          <w:trHeight w:val="288"/>
          <w:jc w:val="center"/>
        </w:trPr>
        <w:tc>
          <w:tcPr>
            <w:tcW w:w="960"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000000"/>
              </w:rPr>
            </w:pPr>
            <w:r w:rsidRPr="008F5E8D">
              <w:rPr>
                <w:rFonts w:ascii="Calibri" w:eastAsia="Times New Roman" w:hAnsi="Calibri" w:cs="Times New Roman"/>
                <w:b/>
                <w:bCs/>
                <w:color w:val="000000"/>
              </w:rPr>
              <w:t>10</w:t>
            </w:r>
          </w:p>
        </w:tc>
        <w:tc>
          <w:tcPr>
            <w:tcW w:w="881"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6%</w:t>
            </w:r>
          </w:p>
        </w:tc>
        <w:tc>
          <w:tcPr>
            <w:tcW w:w="707"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color w:val="000000"/>
              </w:rPr>
            </w:pPr>
            <w:r w:rsidRPr="008F5E8D">
              <w:rPr>
                <w:rFonts w:ascii="Calibri" w:eastAsia="Times New Roman" w:hAnsi="Calibri" w:cs="Times New Roman"/>
                <w:color w:val="000000"/>
              </w:rPr>
              <w:t>14%</w:t>
            </w:r>
          </w:p>
        </w:tc>
        <w:tc>
          <w:tcPr>
            <w:tcW w:w="1292" w:type="dxa"/>
            <w:shd w:val="clear" w:color="auto" w:fill="auto"/>
            <w:noWrap/>
            <w:vAlign w:val="bottom"/>
            <w:hideMark/>
          </w:tcPr>
          <w:p w:rsidR="008F5E8D" w:rsidRPr="008F5E8D" w:rsidRDefault="008F5E8D" w:rsidP="008F5E8D">
            <w:pPr>
              <w:spacing w:after="0" w:line="240" w:lineRule="auto"/>
              <w:jc w:val="center"/>
              <w:rPr>
                <w:rFonts w:ascii="Calibri" w:eastAsia="Times New Roman" w:hAnsi="Calibri" w:cs="Times New Roman"/>
                <w:b/>
                <w:bCs/>
                <w:color w:val="FF0000"/>
              </w:rPr>
            </w:pPr>
            <w:r w:rsidRPr="008F5E8D">
              <w:rPr>
                <w:rFonts w:ascii="Calibri" w:eastAsia="Times New Roman" w:hAnsi="Calibri" w:cs="Times New Roman"/>
                <w:b/>
                <w:bCs/>
                <w:color w:val="FF0000"/>
              </w:rPr>
              <w:t>48%</w:t>
            </w:r>
          </w:p>
        </w:tc>
      </w:tr>
    </w:tbl>
    <w:p w:rsidR="00046193" w:rsidRDefault="00046193" w:rsidP="00046193">
      <w:pPr>
        <w:spacing w:after="180"/>
        <w:rPr>
          <w:b/>
        </w:rPr>
      </w:pPr>
    </w:p>
    <w:p w:rsidR="00046193" w:rsidRPr="00563409" w:rsidRDefault="00046193" w:rsidP="00046193">
      <w:pPr>
        <w:spacing w:after="180"/>
        <w:rPr>
          <w:b/>
        </w:rPr>
      </w:pPr>
      <w:r>
        <w:rPr>
          <w:b/>
        </w:rPr>
        <w:t>Effects of On/Off Cycling on CFL Technical Life Potential</w:t>
      </w:r>
    </w:p>
    <w:p w:rsidR="00B0004C" w:rsidRDefault="00046193">
      <w:r>
        <w:t>One possible reason for the lower than expected survival of CFLs in residential use is the fact that CFL “technical life” (the total potential on time before failure) is a function of cumulative burn time and number of on cycles. As the number of on cycles increases the potential for total on time diminishes. Lumen output also diminishes with total on time and number of on cycles. Residential lamps tend to have increasing cycles with decreasing on time and thus as the saturation of sockets increases the lamps are placed into shorter on time sockets with higher daily on cycle rates which results in decreased technical life of the incremental saturation increase sockets.</w:t>
      </w:r>
    </w:p>
    <w:p w:rsidR="00644CF6" w:rsidRDefault="00644CF6">
      <w:r>
        <w:fldChar w:fldCharType="begin"/>
      </w:r>
      <w:r>
        <w:instrText xml:space="preserve"> REF _Ref419974280 \h </w:instrText>
      </w:r>
      <w:r>
        <w:fldChar w:fldCharType="separate"/>
      </w:r>
      <w:r>
        <w:t xml:space="preserve">Figure </w:t>
      </w:r>
      <w:r>
        <w:rPr>
          <w:noProof/>
        </w:rPr>
        <w:t>3</w:t>
      </w:r>
      <w:r>
        <w:fldChar w:fldCharType="end"/>
      </w:r>
      <w:r>
        <w:t xml:space="preserve"> shows recent laboratory test results</w:t>
      </w:r>
      <w:r w:rsidR="00772CEA">
        <w:rPr>
          <w:rStyle w:val="FootnoteReference"/>
        </w:rPr>
        <w:footnoteReference w:id="13"/>
      </w:r>
      <w:r>
        <w:t xml:space="preserve"> for CFL </w:t>
      </w:r>
      <w:r w:rsidR="00772CEA">
        <w:t>cumulative on-time until failure for various switching on-cycle times.</w:t>
      </w:r>
      <w:r w:rsidR="008D583C">
        <w:t xml:space="preserve"> </w:t>
      </w:r>
      <w:r w:rsidR="008D583C">
        <w:fldChar w:fldCharType="begin"/>
      </w:r>
      <w:r w:rsidR="008D583C">
        <w:instrText xml:space="preserve"> REF _Ref419975339 \h </w:instrText>
      </w:r>
      <w:r w:rsidR="008D583C">
        <w:fldChar w:fldCharType="separate"/>
      </w:r>
      <w:r w:rsidR="008D583C">
        <w:t xml:space="preserve">Table </w:t>
      </w:r>
      <w:r w:rsidR="008D583C">
        <w:rPr>
          <w:noProof/>
        </w:rPr>
        <w:t>8</w:t>
      </w:r>
      <w:r w:rsidR="008D583C">
        <w:fldChar w:fldCharType="end"/>
      </w:r>
      <w:r w:rsidR="008D583C">
        <w:t xml:space="preserve"> and </w:t>
      </w:r>
      <w:r w:rsidR="008D583C">
        <w:fldChar w:fldCharType="begin"/>
      </w:r>
      <w:r w:rsidR="008D583C">
        <w:instrText xml:space="preserve"> REF _Ref419975344 \h </w:instrText>
      </w:r>
      <w:r w:rsidR="008D583C">
        <w:fldChar w:fldCharType="separate"/>
      </w:r>
      <w:r w:rsidR="008D583C">
        <w:t xml:space="preserve">Table </w:t>
      </w:r>
      <w:r w:rsidR="008D583C">
        <w:rPr>
          <w:noProof/>
        </w:rPr>
        <w:t>9</w:t>
      </w:r>
      <w:r w:rsidR="008D583C">
        <w:fldChar w:fldCharType="end"/>
      </w:r>
      <w:r w:rsidR="008D583C">
        <w:t xml:space="preserve"> show lumen maintenance as a function of cycling and CFL type.</w:t>
      </w:r>
    </w:p>
    <w:p w:rsidR="00644CF6" w:rsidRDefault="00644CF6" w:rsidP="00644CF6">
      <w:pPr>
        <w:pStyle w:val="Caption"/>
        <w:keepNext/>
      </w:pPr>
      <w:bookmarkStart w:id="10" w:name="_Ref419974280"/>
      <w:r>
        <w:lastRenderedPageBreak/>
        <w:t xml:space="preserve">Figure </w:t>
      </w:r>
      <w:r w:rsidR="0000082E">
        <w:fldChar w:fldCharType="begin"/>
      </w:r>
      <w:r w:rsidR="0000082E">
        <w:instrText xml:space="preserve"> SEQ Figure \* ARABIC </w:instrText>
      </w:r>
      <w:r w:rsidR="0000082E">
        <w:fldChar w:fldCharType="separate"/>
      </w:r>
      <w:r>
        <w:rPr>
          <w:noProof/>
        </w:rPr>
        <w:t>3</w:t>
      </w:r>
      <w:r w:rsidR="0000082E">
        <w:rPr>
          <w:noProof/>
        </w:rPr>
        <w:fldChar w:fldCharType="end"/>
      </w:r>
      <w:bookmarkEnd w:id="10"/>
      <w:r>
        <w:t xml:space="preserve"> - CFL Lab Testing </w:t>
      </w:r>
      <w:r w:rsidRPr="00644CF6">
        <w:t>Mortality Curves by Switching Cycle and Run-Time</w:t>
      </w:r>
    </w:p>
    <w:p w:rsidR="00644CF6" w:rsidRDefault="00644CF6">
      <w:r w:rsidRPr="00644CF6">
        <w:rPr>
          <w:noProof/>
        </w:rPr>
        <w:drawing>
          <wp:inline distT="0" distB="0" distL="0" distR="0" wp14:anchorId="7EEAD0D3" wp14:editId="115A37C6">
            <wp:extent cx="4381267" cy="3057525"/>
            <wp:effectExtent l="0" t="0" r="635" b="0"/>
            <wp:docPr id="133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6" name="Picture 3"/>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12231" cy="3079134"/>
                    </a:xfrm>
                    <a:prstGeom prst="rect">
                      <a:avLst/>
                    </a:prstGeom>
                    <a:noFill/>
                    <a:ln>
                      <a:noFill/>
                    </a:ln>
                    <a:extLst/>
                  </pic:spPr>
                </pic:pic>
              </a:graphicData>
            </a:graphic>
          </wp:inline>
        </w:drawing>
      </w:r>
    </w:p>
    <w:p w:rsidR="00644CF6" w:rsidRDefault="00644CF6" w:rsidP="00644CF6">
      <w:pPr>
        <w:pStyle w:val="Caption"/>
        <w:keepNext/>
      </w:pPr>
    </w:p>
    <w:p w:rsidR="008D583C" w:rsidRDefault="008D583C" w:rsidP="008D583C">
      <w:pPr>
        <w:pStyle w:val="Caption"/>
        <w:keepNext/>
      </w:pPr>
      <w:bookmarkStart w:id="11" w:name="_Ref419975339"/>
      <w:r>
        <w:t xml:space="preserve">Table </w:t>
      </w:r>
      <w:r w:rsidR="0000082E">
        <w:fldChar w:fldCharType="begin"/>
      </w:r>
      <w:r w:rsidR="0000082E">
        <w:instrText xml:space="preserve"> SEQ Table \* ARABIC </w:instrText>
      </w:r>
      <w:r w:rsidR="0000082E">
        <w:fldChar w:fldCharType="separate"/>
      </w:r>
      <w:r>
        <w:rPr>
          <w:noProof/>
        </w:rPr>
        <w:t>8</w:t>
      </w:r>
      <w:r w:rsidR="0000082E">
        <w:rPr>
          <w:noProof/>
        </w:rPr>
        <w:fldChar w:fldCharType="end"/>
      </w:r>
      <w:bookmarkEnd w:id="11"/>
      <w:r>
        <w:t xml:space="preserve"> -</w:t>
      </w:r>
      <w:r w:rsidRPr="0067054C">
        <w:t>Lumen Maintenance at 4,000 Hours as a Function of Switching Cycle</w:t>
      </w:r>
    </w:p>
    <w:tbl>
      <w:tblPr>
        <w:tblW w:w="6160" w:type="dxa"/>
        <w:jc w:val="center"/>
        <w:tblLook w:val="04A0" w:firstRow="1" w:lastRow="0" w:firstColumn="1" w:lastColumn="0" w:noHBand="0" w:noVBand="1"/>
      </w:tblPr>
      <w:tblGrid>
        <w:gridCol w:w="1800"/>
        <w:gridCol w:w="2180"/>
        <w:gridCol w:w="2180"/>
      </w:tblGrid>
      <w:tr w:rsidR="008D583C" w:rsidRPr="00524CF0" w:rsidTr="00BD671A">
        <w:trPr>
          <w:trHeight w:val="765"/>
          <w:jc w:val="center"/>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583C" w:rsidRPr="00C7615E" w:rsidRDefault="008D583C" w:rsidP="00BD671A">
            <w:pPr>
              <w:jc w:val="center"/>
              <w:rPr>
                <w:b/>
                <w:sz w:val="20"/>
              </w:rPr>
            </w:pPr>
            <w:r w:rsidRPr="00C7615E">
              <w:rPr>
                <w:b/>
                <w:sz w:val="20"/>
              </w:rPr>
              <w:t> Switching</w:t>
            </w:r>
          </w:p>
          <w:p w:rsidR="008D583C" w:rsidRPr="00C7615E" w:rsidRDefault="008D583C" w:rsidP="00BD671A">
            <w:pPr>
              <w:jc w:val="center"/>
              <w:rPr>
                <w:b/>
                <w:sz w:val="20"/>
              </w:rPr>
            </w:pPr>
            <w:r w:rsidRPr="00C7615E">
              <w:rPr>
                <w:b/>
                <w:sz w:val="20"/>
              </w:rPr>
              <w:t xml:space="preserve"> Cycle</w:t>
            </w:r>
          </w:p>
        </w:tc>
        <w:tc>
          <w:tcPr>
            <w:tcW w:w="2180" w:type="dxa"/>
            <w:tcBorders>
              <w:top w:val="single" w:sz="4" w:space="0" w:color="auto"/>
              <w:left w:val="nil"/>
              <w:bottom w:val="single" w:sz="4" w:space="0" w:color="auto"/>
              <w:right w:val="single" w:sz="4" w:space="0" w:color="auto"/>
            </w:tcBorders>
            <w:shd w:val="clear" w:color="auto" w:fill="auto"/>
            <w:vAlign w:val="bottom"/>
          </w:tcPr>
          <w:p w:rsidR="008D583C" w:rsidRPr="00C7615E" w:rsidRDefault="008D583C" w:rsidP="00BD671A">
            <w:pPr>
              <w:jc w:val="center"/>
              <w:rPr>
                <w:b/>
                <w:sz w:val="20"/>
              </w:rPr>
            </w:pPr>
            <w:r w:rsidRPr="00C7615E">
              <w:rPr>
                <w:b/>
                <w:sz w:val="20"/>
              </w:rPr>
              <w:t>Average Lumen Maintenance</w:t>
            </w:r>
          </w:p>
        </w:tc>
        <w:tc>
          <w:tcPr>
            <w:tcW w:w="2180" w:type="dxa"/>
            <w:tcBorders>
              <w:top w:val="single" w:sz="4" w:space="0" w:color="auto"/>
              <w:left w:val="nil"/>
              <w:bottom w:val="single" w:sz="4" w:space="0" w:color="auto"/>
              <w:right w:val="single" w:sz="4" w:space="0" w:color="auto"/>
            </w:tcBorders>
            <w:shd w:val="clear" w:color="auto" w:fill="auto"/>
            <w:vAlign w:val="bottom"/>
          </w:tcPr>
          <w:p w:rsidR="008D583C" w:rsidRPr="00C7615E" w:rsidRDefault="008D583C" w:rsidP="00BD671A">
            <w:pPr>
              <w:jc w:val="center"/>
              <w:rPr>
                <w:b/>
                <w:sz w:val="20"/>
              </w:rPr>
            </w:pPr>
            <w:r w:rsidRPr="00C7615E">
              <w:rPr>
                <w:b/>
                <w:sz w:val="20"/>
              </w:rPr>
              <w:t>% of Lamps with Lumen Maintenance of 80% or Below</w:t>
            </w:r>
          </w:p>
        </w:tc>
      </w:tr>
      <w:tr w:rsidR="008D583C" w:rsidRPr="006F4556" w:rsidTr="00BD671A">
        <w:trPr>
          <w:trHeight w:val="255"/>
          <w:jc w:val="center"/>
        </w:trPr>
        <w:tc>
          <w:tcPr>
            <w:tcW w:w="1800" w:type="dxa"/>
            <w:tcBorders>
              <w:top w:val="nil"/>
              <w:left w:val="single" w:sz="4" w:space="0" w:color="auto"/>
              <w:bottom w:val="single" w:sz="4" w:space="0" w:color="auto"/>
              <w:right w:val="single" w:sz="4" w:space="0" w:color="auto"/>
            </w:tcBorders>
            <w:shd w:val="clear" w:color="auto" w:fill="auto"/>
            <w:noWrap/>
            <w:vAlign w:val="bottom"/>
          </w:tcPr>
          <w:p w:rsidR="008D583C" w:rsidRPr="00DF6752" w:rsidRDefault="008D583C" w:rsidP="00BD671A">
            <w:pPr>
              <w:jc w:val="center"/>
              <w:rPr>
                <w:sz w:val="18"/>
                <w:szCs w:val="20"/>
              </w:rPr>
            </w:pPr>
            <w:r w:rsidRPr="00DF6752">
              <w:rPr>
                <w:sz w:val="18"/>
                <w:szCs w:val="20"/>
              </w:rPr>
              <w:t>30 variable</w:t>
            </w:r>
          </w:p>
        </w:tc>
        <w:tc>
          <w:tcPr>
            <w:tcW w:w="2180" w:type="dxa"/>
            <w:tcBorders>
              <w:top w:val="nil"/>
              <w:left w:val="nil"/>
              <w:bottom w:val="single" w:sz="4" w:space="0" w:color="auto"/>
              <w:right w:val="single" w:sz="4" w:space="0" w:color="auto"/>
            </w:tcBorders>
            <w:shd w:val="clear" w:color="auto" w:fill="auto"/>
            <w:noWrap/>
            <w:vAlign w:val="bottom"/>
          </w:tcPr>
          <w:p w:rsidR="008D583C" w:rsidRPr="00DF6752" w:rsidRDefault="008D583C" w:rsidP="00BD671A">
            <w:pPr>
              <w:jc w:val="center"/>
              <w:rPr>
                <w:sz w:val="18"/>
                <w:szCs w:val="20"/>
              </w:rPr>
            </w:pPr>
            <w:r w:rsidRPr="00DF6752">
              <w:rPr>
                <w:sz w:val="18"/>
                <w:szCs w:val="20"/>
              </w:rPr>
              <w:t>91%</w:t>
            </w:r>
          </w:p>
        </w:tc>
        <w:tc>
          <w:tcPr>
            <w:tcW w:w="2180" w:type="dxa"/>
            <w:tcBorders>
              <w:top w:val="nil"/>
              <w:left w:val="nil"/>
              <w:bottom w:val="single" w:sz="4" w:space="0" w:color="auto"/>
              <w:right w:val="single" w:sz="4" w:space="0" w:color="auto"/>
            </w:tcBorders>
            <w:shd w:val="clear" w:color="auto" w:fill="auto"/>
            <w:noWrap/>
            <w:vAlign w:val="bottom"/>
          </w:tcPr>
          <w:p w:rsidR="008D583C" w:rsidRPr="00DF6752" w:rsidRDefault="008D583C" w:rsidP="00BD671A">
            <w:pPr>
              <w:jc w:val="center"/>
              <w:rPr>
                <w:sz w:val="18"/>
                <w:szCs w:val="20"/>
              </w:rPr>
            </w:pPr>
            <w:r w:rsidRPr="00DF6752">
              <w:rPr>
                <w:sz w:val="18"/>
                <w:szCs w:val="20"/>
              </w:rPr>
              <w:t>9%</w:t>
            </w:r>
          </w:p>
        </w:tc>
      </w:tr>
      <w:tr w:rsidR="008D583C" w:rsidRPr="006F4556" w:rsidTr="00BD671A">
        <w:trPr>
          <w:trHeight w:val="255"/>
          <w:jc w:val="center"/>
        </w:trPr>
        <w:tc>
          <w:tcPr>
            <w:tcW w:w="1800" w:type="dxa"/>
            <w:tcBorders>
              <w:top w:val="nil"/>
              <w:left w:val="single" w:sz="4" w:space="0" w:color="auto"/>
              <w:bottom w:val="single" w:sz="4" w:space="0" w:color="auto"/>
              <w:right w:val="single" w:sz="4" w:space="0" w:color="auto"/>
            </w:tcBorders>
            <w:shd w:val="clear" w:color="auto" w:fill="auto"/>
            <w:noWrap/>
            <w:vAlign w:val="bottom"/>
          </w:tcPr>
          <w:p w:rsidR="008D583C" w:rsidRPr="00DF6752" w:rsidRDefault="008D583C" w:rsidP="00BD671A">
            <w:pPr>
              <w:jc w:val="center"/>
              <w:rPr>
                <w:sz w:val="18"/>
                <w:szCs w:val="20"/>
              </w:rPr>
            </w:pPr>
            <w:r>
              <w:rPr>
                <w:sz w:val="18"/>
                <w:szCs w:val="20"/>
              </w:rPr>
              <w:t>30 fixed</w:t>
            </w:r>
          </w:p>
        </w:tc>
        <w:tc>
          <w:tcPr>
            <w:tcW w:w="2180" w:type="dxa"/>
            <w:tcBorders>
              <w:top w:val="nil"/>
              <w:left w:val="nil"/>
              <w:bottom w:val="single" w:sz="4" w:space="0" w:color="auto"/>
              <w:right w:val="single" w:sz="4" w:space="0" w:color="auto"/>
            </w:tcBorders>
            <w:shd w:val="clear" w:color="auto" w:fill="auto"/>
            <w:noWrap/>
            <w:vAlign w:val="bottom"/>
          </w:tcPr>
          <w:p w:rsidR="008D583C" w:rsidRPr="00DF6752" w:rsidRDefault="008D583C" w:rsidP="00BD671A">
            <w:pPr>
              <w:jc w:val="center"/>
              <w:rPr>
                <w:sz w:val="18"/>
                <w:szCs w:val="20"/>
              </w:rPr>
            </w:pPr>
            <w:r>
              <w:rPr>
                <w:sz w:val="18"/>
                <w:szCs w:val="20"/>
              </w:rPr>
              <w:t>85%</w:t>
            </w:r>
          </w:p>
        </w:tc>
        <w:tc>
          <w:tcPr>
            <w:tcW w:w="2180" w:type="dxa"/>
            <w:tcBorders>
              <w:top w:val="nil"/>
              <w:left w:val="nil"/>
              <w:bottom w:val="single" w:sz="4" w:space="0" w:color="auto"/>
              <w:right w:val="single" w:sz="4" w:space="0" w:color="auto"/>
            </w:tcBorders>
            <w:shd w:val="clear" w:color="auto" w:fill="auto"/>
            <w:noWrap/>
            <w:vAlign w:val="bottom"/>
          </w:tcPr>
          <w:p w:rsidR="008D583C" w:rsidRPr="00DF6752" w:rsidRDefault="008D583C" w:rsidP="00BD671A">
            <w:pPr>
              <w:jc w:val="center"/>
              <w:rPr>
                <w:sz w:val="18"/>
                <w:szCs w:val="20"/>
              </w:rPr>
            </w:pPr>
            <w:r>
              <w:rPr>
                <w:sz w:val="18"/>
                <w:szCs w:val="20"/>
              </w:rPr>
              <w:t>33%</w:t>
            </w:r>
          </w:p>
        </w:tc>
      </w:tr>
      <w:tr w:rsidR="008D583C" w:rsidRPr="006F4556" w:rsidTr="00BD671A">
        <w:trPr>
          <w:trHeight w:val="255"/>
          <w:jc w:val="center"/>
        </w:trPr>
        <w:tc>
          <w:tcPr>
            <w:tcW w:w="1800" w:type="dxa"/>
            <w:tcBorders>
              <w:top w:val="nil"/>
              <w:left w:val="single" w:sz="4" w:space="0" w:color="auto"/>
              <w:bottom w:val="single" w:sz="4" w:space="0" w:color="auto"/>
              <w:right w:val="single" w:sz="4" w:space="0" w:color="auto"/>
            </w:tcBorders>
            <w:shd w:val="clear" w:color="auto" w:fill="auto"/>
            <w:noWrap/>
            <w:vAlign w:val="bottom"/>
          </w:tcPr>
          <w:p w:rsidR="008D583C" w:rsidRPr="00DF6752" w:rsidRDefault="008D583C" w:rsidP="00BD671A">
            <w:pPr>
              <w:jc w:val="center"/>
              <w:rPr>
                <w:sz w:val="18"/>
                <w:szCs w:val="20"/>
              </w:rPr>
            </w:pPr>
            <w:r w:rsidRPr="00DF6752">
              <w:rPr>
                <w:sz w:val="18"/>
                <w:szCs w:val="20"/>
              </w:rPr>
              <w:t>90</w:t>
            </w:r>
          </w:p>
        </w:tc>
        <w:tc>
          <w:tcPr>
            <w:tcW w:w="2180" w:type="dxa"/>
            <w:tcBorders>
              <w:top w:val="nil"/>
              <w:left w:val="nil"/>
              <w:bottom w:val="single" w:sz="4" w:space="0" w:color="auto"/>
              <w:right w:val="single" w:sz="4" w:space="0" w:color="auto"/>
            </w:tcBorders>
            <w:shd w:val="clear" w:color="auto" w:fill="auto"/>
            <w:noWrap/>
            <w:vAlign w:val="bottom"/>
          </w:tcPr>
          <w:p w:rsidR="008D583C" w:rsidRPr="00DF6752" w:rsidRDefault="008D583C" w:rsidP="00BD671A">
            <w:pPr>
              <w:jc w:val="center"/>
              <w:rPr>
                <w:sz w:val="18"/>
                <w:szCs w:val="20"/>
              </w:rPr>
            </w:pPr>
            <w:r w:rsidRPr="00DF6752">
              <w:rPr>
                <w:sz w:val="18"/>
                <w:szCs w:val="20"/>
              </w:rPr>
              <w:t>83%</w:t>
            </w:r>
          </w:p>
        </w:tc>
        <w:tc>
          <w:tcPr>
            <w:tcW w:w="2180" w:type="dxa"/>
            <w:tcBorders>
              <w:top w:val="nil"/>
              <w:left w:val="nil"/>
              <w:bottom w:val="single" w:sz="4" w:space="0" w:color="auto"/>
              <w:right w:val="single" w:sz="4" w:space="0" w:color="auto"/>
            </w:tcBorders>
            <w:shd w:val="clear" w:color="auto" w:fill="auto"/>
            <w:noWrap/>
            <w:vAlign w:val="bottom"/>
          </w:tcPr>
          <w:p w:rsidR="008D583C" w:rsidRPr="00DF6752" w:rsidRDefault="008D583C" w:rsidP="00BD671A">
            <w:pPr>
              <w:jc w:val="center"/>
              <w:rPr>
                <w:sz w:val="18"/>
                <w:szCs w:val="20"/>
              </w:rPr>
            </w:pPr>
            <w:r w:rsidRPr="00DF6752">
              <w:rPr>
                <w:sz w:val="18"/>
                <w:szCs w:val="20"/>
              </w:rPr>
              <w:t>24%</w:t>
            </w:r>
          </w:p>
        </w:tc>
      </w:tr>
      <w:tr w:rsidR="008D583C" w:rsidRPr="006F4556" w:rsidTr="00BD671A">
        <w:trPr>
          <w:trHeight w:val="255"/>
          <w:jc w:val="center"/>
        </w:trPr>
        <w:tc>
          <w:tcPr>
            <w:tcW w:w="1800" w:type="dxa"/>
            <w:tcBorders>
              <w:top w:val="nil"/>
              <w:left w:val="single" w:sz="4" w:space="0" w:color="auto"/>
              <w:bottom w:val="single" w:sz="4" w:space="0" w:color="auto"/>
              <w:right w:val="single" w:sz="4" w:space="0" w:color="auto"/>
            </w:tcBorders>
            <w:shd w:val="clear" w:color="auto" w:fill="auto"/>
            <w:noWrap/>
            <w:vAlign w:val="bottom"/>
          </w:tcPr>
          <w:p w:rsidR="008D583C" w:rsidRPr="00DF6752" w:rsidRDefault="008D583C" w:rsidP="00BD671A">
            <w:pPr>
              <w:jc w:val="center"/>
              <w:rPr>
                <w:sz w:val="18"/>
                <w:szCs w:val="20"/>
              </w:rPr>
            </w:pPr>
            <w:r w:rsidRPr="00DF6752">
              <w:rPr>
                <w:sz w:val="18"/>
                <w:szCs w:val="20"/>
              </w:rPr>
              <w:t>180</w:t>
            </w:r>
          </w:p>
        </w:tc>
        <w:tc>
          <w:tcPr>
            <w:tcW w:w="2180" w:type="dxa"/>
            <w:tcBorders>
              <w:top w:val="nil"/>
              <w:left w:val="nil"/>
              <w:bottom w:val="single" w:sz="4" w:space="0" w:color="auto"/>
              <w:right w:val="single" w:sz="4" w:space="0" w:color="auto"/>
            </w:tcBorders>
            <w:shd w:val="clear" w:color="auto" w:fill="auto"/>
            <w:noWrap/>
            <w:vAlign w:val="bottom"/>
          </w:tcPr>
          <w:p w:rsidR="008D583C" w:rsidRPr="00DF6752" w:rsidRDefault="008D583C" w:rsidP="00BD671A">
            <w:pPr>
              <w:jc w:val="center"/>
              <w:rPr>
                <w:sz w:val="18"/>
                <w:szCs w:val="20"/>
              </w:rPr>
            </w:pPr>
            <w:r w:rsidRPr="00DF6752">
              <w:rPr>
                <w:sz w:val="18"/>
                <w:szCs w:val="20"/>
              </w:rPr>
              <w:t>84%</w:t>
            </w:r>
          </w:p>
        </w:tc>
        <w:tc>
          <w:tcPr>
            <w:tcW w:w="2180" w:type="dxa"/>
            <w:tcBorders>
              <w:top w:val="nil"/>
              <w:left w:val="nil"/>
              <w:bottom w:val="single" w:sz="4" w:space="0" w:color="auto"/>
              <w:right w:val="single" w:sz="4" w:space="0" w:color="auto"/>
            </w:tcBorders>
            <w:shd w:val="clear" w:color="auto" w:fill="auto"/>
            <w:noWrap/>
            <w:vAlign w:val="bottom"/>
          </w:tcPr>
          <w:p w:rsidR="008D583C" w:rsidRPr="00DF6752" w:rsidRDefault="008D583C" w:rsidP="00BD671A">
            <w:pPr>
              <w:jc w:val="center"/>
              <w:rPr>
                <w:sz w:val="18"/>
                <w:szCs w:val="20"/>
              </w:rPr>
            </w:pPr>
            <w:r w:rsidRPr="00DF6752">
              <w:rPr>
                <w:sz w:val="18"/>
                <w:szCs w:val="20"/>
              </w:rPr>
              <w:t>25%</w:t>
            </w:r>
          </w:p>
        </w:tc>
      </w:tr>
      <w:tr w:rsidR="008D583C" w:rsidRPr="006F4556" w:rsidTr="00BD671A">
        <w:trPr>
          <w:trHeight w:val="255"/>
          <w:jc w:val="center"/>
        </w:trPr>
        <w:tc>
          <w:tcPr>
            <w:tcW w:w="1800" w:type="dxa"/>
            <w:tcBorders>
              <w:top w:val="nil"/>
              <w:left w:val="single" w:sz="4" w:space="0" w:color="auto"/>
              <w:bottom w:val="single" w:sz="4" w:space="0" w:color="auto"/>
              <w:right w:val="single" w:sz="4" w:space="0" w:color="auto"/>
            </w:tcBorders>
            <w:shd w:val="clear" w:color="auto" w:fill="auto"/>
            <w:noWrap/>
            <w:vAlign w:val="bottom"/>
          </w:tcPr>
          <w:p w:rsidR="008D583C" w:rsidRPr="00DF6752" w:rsidRDefault="008D583C" w:rsidP="00BD671A">
            <w:pPr>
              <w:jc w:val="center"/>
              <w:rPr>
                <w:sz w:val="18"/>
                <w:szCs w:val="20"/>
              </w:rPr>
            </w:pPr>
            <w:r w:rsidRPr="00DF6752">
              <w:rPr>
                <w:sz w:val="18"/>
                <w:szCs w:val="20"/>
              </w:rPr>
              <w:t>720</w:t>
            </w:r>
          </w:p>
        </w:tc>
        <w:tc>
          <w:tcPr>
            <w:tcW w:w="2180" w:type="dxa"/>
            <w:tcBorders>
              <w:top w:val="nil"/>
              <w:left w:val="nil"/>
              <w:bottom w:val="single" w:sz="4" w:space="0" w:color="auto"/>
              <w:right w:val="single" w:sz="4" w:space="0" w:color="auto"/>
            </w:tcBorders>
            <w:shd w:val="clear" w:color="auto" w:fill="auto"/>
            <w:noWrap/>
            <w:vAlign w:val="bottom"/>
          </w:tcPr>
          <w:p w:rsidR="008D583C" w:rsidRPr="00DF6752" w:rsidRDefault="008D583C" w:rsidP="00BD671A">
            <w:pPr>
              <w:jc w:val="center"/>
              <w:rPr>
                <w:sz w:val="18"/>
                <w:szCs w:val="20"/>
              </w:rPr>
            </w:pPr>
            <w:r w:rsidRPr="00DF6752">
              <w:rPr>
                <w:sz w:val="18"/>
                <w:szCs w:val="20"/>
              </w:rPr>
              <w:t>81%</w:t>
            </w:r>
          </w:p>
        </w:tc>
        <w:tc>
          <w:tcPr>
            <w:tcW w:w="2180" w:type="dxa"/>
            <w:tcBorders>
              <w:top w:val="nil"/>
              <w:left w:val="nil"/>
              <w:bottom w:val="single" w:sz="4" w:space="0" w:color="auto"/>
              <w:right w:val="single" w:sz="4" w:space="0" w:color="auto"/>
            </w:tcBorders>
            <w:shd w:val="clear" w:color="auto" w:fill="auto"/>
            <w:noWrap/>
            <w:vAlign w:val="bottom"/>
          </w:tcPr>
          <w:p w:rsidR="008D583C" w:rsidRPr="00DF6752" w:rsidRDefault="008D583C" w:rsidP="00BD671A">
            <w:pPr>
              <w:jc w:val="center"/>
              <w:rPr>
                <w:sz w:val="18"/>
                <w:szCs w:val="20"/>
              </w:rPr>
            </w:pPr>
            <w:r w:rsidRPr="00DF6752">
              <w:rPr>
                <w:sz w:val="18"/>
                <w:szCs w:val="20"/>
              </w:rPr>
              <w:t>34%</w:t>
            </w:r>
          </w:p>
        </w:tc>
      </w:tr>
    </w:tbl>
    <w:p w:rsidR="00644CF6" w:rsidRDefault="00644CF6"/>
    <w:p w:rsidR="008D583C" w:rsidRDefault="008D583C" w:rsidP="008D583C">
      <w:pPr>
        <w:pStyle w:val="Caption"/>
        <w:keepNext/>
      </w:pPr>
      <w:bookmarkStart w:id="12" w:name="_Ref419975344"/>
      <w:r>
        <w:t xml:space="preserve">Table </w:t>
      </w:r>
      <w:r w:rsidR="0000082E">
        <w:fldChar w:fldCharType="begin"/>
      </w:r>
      <w:r w:rsidR="0000082E">
        <w:instrText xml:space="preserve"> SEQ Table \* ARABIC </w:instrText>
      </w:r>
      <w:r w:rsidR="0000082E">
        <w:fldChar w:fldCharType="separate"/>
      </w:r>
      <w:r>
        <w:rPr>
          <w:noProof/>
        </w:rPr>
        <w:t>9</w:t>
      </w:r>
      <w:r w:rsidR="0000082E">
        <w:rPr>
          <w:noProof/>
        </w:rPr>
        <w:fldChar w:fldCharType="end"/>
      </w:r>
      <w:bookmarkEnd w:id="12"/>
      <w:r>
        <w:t xml:space="preserve"> - </w:t>
      </w:r>
      <w:r w:rsidRPr="00DB46EA">
        <w:t>Lumen Maintenance at 4,000 Hours as a Function of CFL Type</w:t>
      </w:r>
    </w:p>
    <w:tbl>
      <w:tblPr>
        <w:tblW w:w="5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0"/>
        <w:gridCol w:w="1540"/>
        <w:gridCol w:w="1520"/>
      </w:tblGrid>
      <w:tr w:rsidR="008D583C" w:rsidRPr="00706A12" w:rsidTr="00BD671A">
        <w:trPr>
          <w:trHeight w:val="1020"/>
          <w:tblHeader/>
          <w:jc w:val="center"/>
        </w:trPr>
        <w:tc>
          <w:tcPr>
            <w:tcW w:w="2200" w:type="dxa"/>
            <w:shd w:val="clear" w:color="auto" w:fill="auto"/>
            <w:noWrap/>
            <w:vAlign w:val="bottom"/>
          </w:tcPr>
          <w:p w:rsidR="008D583C" w:rsidRPr="00C7615E" w:rsidRDefault="008D583C" w:rsidP="00BD671A">
            <w:pPr>
              <w:jc w:val="center"/>
              <w:rPr>
                <w:b/>
                <w:sz w:val="20"/>
              </w:rPr>
            </w:pPr>
            <w:r w:rsidRPr="00C7615E">
              <w:rPr>
                <w:b/>
                <w:sz w:val="20"/>
              </w:rPr>
              <w:t>CFL</w:t>
            </w:r>
          </w:p>
          <w:p w:rsidR="008D583C" w:rsidRPr="00C7615E" w:rsidRDefault="008D583C" w:rsidP="00BD671A">
            <w:pPr>
              <w:jc w:val="center"/>
              <w:rPr>
                <w:b/>
                <w:sz w:val="20"/>
              </w:rPr>
            </w:pPr>
            <w:r w:rsidRPr="00C7615E">
              <w:rPr>
                <w:b/>
                <w:sz w:val="20"/>
              </w:rPr>
              <w:t>Type</w:t>
            </w:r>
          </w:p>
        </w:tc>
        <w:tc>
          <w:tcPr>
            <w:tcW w:w="1540" w:type="dxa"/>
            <w:shd w:val="clear" w:color="auto" w:fill="auto"/>
            <w:vAlign w:val="bottom"/>
          </w:tcPr>
          <w:p w:rsidR="008D583C" w:rsidRPr="00C7615E" w:rsidRDefault="008D583C" w:rsidP="00BD671A">
            <w:pPr>
              <w:jc w:val="center"/>
              <w:rPr>
                <w:b/>
                <w:sz w:val="20"/>
              </w:rPr>
            </w:pPr>
            <w:r w:rsidRPr="00C7615E">
              <w:rPr>
                <w:b/>
                <w:sz w:val="20"/>
              </w:rPr>
              <w:t>Average Lumen Maintenance</w:t>
            </w:r>
          </w:p>
        </w:tc>
        <w:tc>
          <w:tcPr>
            <w:tcW w:w="1520" w:type="dxa"/>
            <w:shd w:val="clear" w:color="auto" w:fill="auto"/>
            <w:vAlign w:val="bottom"/>
          </w:tcPr>
          <w:p w:rsidR="008D583C" w:rsidRPr="00C7615E" w:rsidRDefault="008D583C" w:rsidP="00BD671A">
            <w:pPr>
              <w:jc w:val="center"/>
              <w:rPr>
                <w:b/>
                <w:sz w:val="20"/>
              </w:rPr>
            </w:pPr>
            <w:r w:rsidRPr="00C7615E">
              <w:rPr>
                <w:b/>
                <w:sz w:val="20"/>
              </w:rPr>
              <w:t>% of Lamps with Lumen Maintenance  80% or Below</w:t>
            </w:r>
          </w:p>
        </w:tc>
      </w:tr>
      <w:tr w:rsidR="008D583C" w:rsidRPr="00706A12" w:rsidTr="00BD671A">
        <w:trPr>
          <w:trHeight w:val="255"/>
          <w:jc w:val="center"/>
        </w:trPr>
        <w:tc>
          <w:tcPr>
            <w:tcW w:w="2200" w:type="dxa"/>
            <w:shd w:val="clear" w:color="auto" w:fill="auto"/>
            <w:noWrap/>
            <w:vAlign w:val="bottom"/>
          </w:tcPr>
          <w:p w:rsidR="008D583C" w:rsidRPr="00DF6752" w:rsidRDefault="008D583C" w:rsidP="00BD671A">
            <w:pPr>
              <w:jc w:val="center"/>
              <w:rPr>
                <w:sz w:val="18"/>
                <w:szCs w:val="20"/>
              </w:rPr>
            </w:pPr>
            <w:r w:rsidRPr="00DF6752">
              <w:rPr>
                <w:sz w:val="18"/>
                <w:szCs w:val="20"/>
              </w:rPr>
              <w:t>Reflector</w:t>
            </w:r>
          </w:p>
        </w:tc>
        <w:tc>
          <w:tcPr>
            <w:tcW w:w="1540" w:type="dxa"/>
            <w:shd w:val="clear" w:color="auto" w:fill="auto"/>
            <w:noWrap/>
          </w:tcPr>
          <w:p w:rsidR="008D583C" w:rsidRPr="00DF6752" w:rsidRDefault="008D583C" w:rsidP="00BD671A">
            <w:pPr>
              <w:jc w:val="center"/>
              <w:rPr>
                <w:sz w:val="18"/>
                <w:szCs w:val="20"/>
              </w:rPr>
            </w:pPr>
            <w:r>
              <w:rPr>
                <w:sz w:val="18"/>
                <w:szCs w:val="20"/>
              </w:rPr>
              <w:t>83.7</w:t>
            </w:r>
            <w:r w:rsidRPr="00DF6752">
              <w:rPr>
                <w:sz w:val="18"/>
                <w:szCs w:val="20"/>
              </w:rPr>
              <w:t>%</w:t>
            </w:r>
          </w:p>
        </w:tc>
        <w:tc>
          <w:tcPr>
            <w:tcW w:w="1520" w:type="dxa"/>
            <w:shd w:val="clear" w:color="auto" w:fill="auto"/>
            <w:noWrap/>
          </w:tcPr>
          <w:p w:rsidR="008D583C" w:rsidRPr="009A51A6" w:rsidRDefault="008D583C" w:rsidP="00BD671A">
            <w:pPr>
              <w:jc w:val="center"/>
              <w:rPr>
                <w:sz w:val="18"/>
              </w:rPr>
            </w:pPr>
            <w:r w:rsidRPr="009A51A6">
              <w:rPr>
                <w:sz w:val="18"/>
              </w:rPr>
              <w:t>32.1%</w:t>
            </w:r>
          </w:p>
        </w:tc>
      </w:tr>
      <w:tr w:rsidR="008D583C" w:rsidRPr="00706A12" w:rsidTr="00BD671A">
        <w:trPr>
          <w:trHeight w:val="255"/>
          <w:jc w:val="center"/>
        </w:trPr>
        <w:tc>
          <w:tcPr>
            <w:tcW w:w="2200" w:type="dxa"/>
            <w:shd w:val="clear" w:color="auto" w:fill="auto"/>
            <w:noWrap/>
            <w:vAlign w:val="bottom"/>
          </w:tcPr>
          <w:p w:rsidR="008D583C" w:rsidRPr="00DF6752" w:rsidRDefault="008D583C" w:rsidP="00BD671A">
            <w:pPr>
              <w:jc w:val="center"/>
              <w:rPr>
                <w:sz w:val="18"/>
                <w:szCs w:val="20"/>
              </w:rPr>
            </w:pPr>
            <w:r w:rsidRPr="00DF6752">
              <w:rPr>
                <w:sz w:val="18"/>
                <w:szCs w:val="20"/>
              </w:rPr>
              <w:t>Covered</w:t>
            </w:r>
          </w:p>
        </w:tc>
        <w:tc>
          <w:tcPr>
            <w:tcW w:w="1540" w:type="dxa"/>
            <w:shd w:val="clear" w:color="auto" w:fill="auto"/>
            <w:noWrap/>
          </w:tcPr>
          <w:p w:rsidR="008D583C" w:rsidRPr="00DF6752" w:rsidRDefault="008D583C" w:rsidP="00BD671A">
            <w:pPr>
              <w:jc w:val="center"/>
              <w:rPr>
                <w:sz w:val="18"/>
                <w:szCs w:val="20"/>
              </w:rPr>
            </w:pPr>
            <w:r>
              <w:rPr>
                <w:sz w:val="18"/>
                <w:szCs w:val="20"/>
              </w:rPr>
              <w:t>86.8</w:t>
            </w:r>
            <w:r w:rsidRPr="00DF6752">
              <w:rPr>
                <w:sz w:val="18"/>
                <w:szCs w:val="20"/>
              </w:rPr>
              <w:t>%</w:t>
            </w:r>
          </w:p>
        </w:tc>
        <w:tc>
          <w:tcPr>
            <w:tcW w:w="1520" w:type="dxa"/>
            <w:shd w:val="clear" w:color="auto" w:fill="auto"/>
            <w:noWrap/>
          </w:tcPr>
          <w:p w:rsidR="008D583C" w:rsidRPr="009A51A6" w:rsidRDefault="008D583C" w:rsidP="00BD671A">
            <w:pPr>
              <w:jc w:val="center"/>
              <w:rPr>
                <w:sz w:val="18"/>
              </w:rPr>
            </w:pPr>
            <w:r w:rsidRPr="009A51A6">
              <w:rPr>
                <w:sz w:val="18"/>
              </w:rPr>
              <w:t>26.5%</w:t>
            </w:r>
          </w:p>
        </w:tc>
      </w:tr>
      <w:tr w:rsidR="008D583C" w:rsidRPr="00706A12" w:rsidTr="00BD671A">
        <w:trPr>
          <w:trHeight w:val="255"/>
          <w:jc w:val="center"/>
        </w:trPr>
        <w:tc>
          <w:tcPr>
            <w:tcW w:w="2200" w:type="dxa"/>
            <w:shd w:val="clear" w:color="auto" w:fill="auto"/>
            <w:noWrap/>
            <w:vAlign w:val="bottom"/>
          </w:tcPr>
          <w:p w:rsidR="008D583C" w:rsidRPr="00DF6752" w:rsidRDefault="008D583C" w:rsidP="00BD671A">
            <w:pPr>
              <w:jc w:val="center"/>
              <w:rPr>
                <w:sz w:val="18"/>
                <w:szCs w:val="20"/>
              </w:rPr>
            </w:pPr>
            <w:r w:rsidRPr="00DF6752">
              <w:rPr>
                <w:sz w:val="18"/>
                <w:szCs w:val="20"/>
              </w:rPr>
              <w:lastRenderedPageBreak/>
              <w:t>Spiral 9-15</w:t>
            </w:r>
          </w:p>
        </w:tc>
        <w:tc>
          <w:tcPr>
            <w:tcW w:w="1540" w:type="dxa"/>
            <w:shd w:val="clear" w:color="auto" w:fill="auto"/>
            <w:noWrap/>
          </w:tcPr>
          <w:p w:rsidR="008D583C" w:rsidRPr="00DF6752" w:rsidRDefault="008D583C" w:rsidP="00BD671A">
            <w:pPr>
              <w:jc w:val="center"/>
              <w:rPr>
                <w:sz w:val="18"/>
                <w:szCs w:val="20"/>
              </w:rPr>
            </w:pPr>
            <w:r>
              <w:rPr>
                <w:sz w:val="18"/>
                <w:szCs w:val="20"/>
              </w:rPr>
              <w:t>85.5</w:t>
            </w:r>
            <w:r w:rsidRPr="00DF6752">
              <w:rPr>
                <w:sz w:val="18"/>
                <w:szCs w:val="20"/>
              </w:rPr>
              <w:t>%</w:t>
            </w:r>
          </w:p>
        </w:tc>
        <w:tc>
          <w:tcPr>
            <w:tcW w:w="1520" w:type="dxa"/>
            <w:shd w:val="clear" w:color="auto" w:fill="auto"/>
            <w:noWrap/>
          </w:tcPr>
          <w:p w:rsidR="008D583C" w:rsidRPr="009A51A6" w:rsidRDefault="008D583C" w:rsidP="00BD671A">
            <w:pPr>
              <w:jc w:val="center"/>
              <w:rPr>
                <w:sz w:val="18"/>
              </w:rPr>
            </w:pPr>
            <w:r w:rsidRPr="009A51A6">
              <w:rPr>
                <w:sz w:val="18"/>
              </w:rPr>
              <w:t>18.6%</w:t>
            </w:r>
          </w:p>
        </w:tc>
      </w:tr>
      <w:tr w:rsidR="008D583C" w:rsidRPr="00706A12" w:rsidTr="00BD671A">
        <w:trPr>
          <w:trHeight w:val="255"/>
          <w:jc w:val="center"/>
        </w:trPr>
        <w:tc>
          <w:tcPr>
            <w:tcW w:w="2200" w:type="dxa"/>
            <w:shd w:val="clear" w:color="auto" w:fill="auto"/>
            <w:noWrap/>
            <w:vAlign w:val="bottom"/>
          </w:tcPr>
          <w:p w:rsidR="008D583C" w:rsidRPr="00DF6752" w:rsidRDefault="008D583C" w:rsidP="00BD671A">
            <w:pPr>
              <w:jc w:val="center"/>
              <w:rPr>
                <w:sz w:val="18"/>
                <w:szCs w:val="20"/>
              </w:rPr>
            </w:pPr>
            <w:r w:rsidRPr="00DF6752">
              <w:rPr>
                <w:sz w:val="18"/>
                <w:szCs w:val="20"/>
              </w:rPr>
              <w:t>Spiral 16-20</w:t>
            </w:r>
          </w:p>
        </w:tc>
        <w:tc>
          <w:tcPr>
            <w:tcW w:w="1540" w:type="dxa"/>
            <w:shd w:val="clear" w:color="auto" w:fill="auto"/>
            <w:noWrap/>
          </w:tcPr>
          <w:p w:rsidR="008D583C" w:rsidRPr="00DF6752" w:rsidRDefault="008D583C" w:rsidP="00BD671A">
            <w:pPr>
              <w:jc w:val="center"/>
              <w:rPr>
                <w:sz w:val="18"/>
                <w:szCs w:val="20"/>
              </w:rPr>
            </w:pPr>
            <w:r>
              <w:rPr>
                <w:sz w:val="18"/>
                <w:szCs w:val="20"/>
              </w:rPr>
              <w:t>85.8</w:t>
            </w:r>
            <w:r w:rsidRPr="00DF6752">
              <w:rPr>
                <w:sz w:val="18"/>
                <w:szCs w:val="20"/>
              </w:rPr>
              <w:t>%</w:t>
            </w:r>
          </w:p>
        </w:tc>
        <w:tc>
          <w:tcPr>
            <w:tcW w:w="1520" w:type="dxa"/>
            <w:shd w:val="clear" w:color="auto" w:fill="auto"/>
            <w:noWrap/>
          </w:tcPr>
          <w:p w:rsidR="008D583C" w:rsidRPr="009A51A6" w:rsidRDefault="008D583C" w:rsidP="00BD671A">
            <w:pPr>
              <w:jc w:val="center"/>
              <w:rPr>
                <w:sz w:val="18"/>
              </w:rPr>
            </w:pPr>
            <w:r w:rsidRPr="009A51A6">
              <w:rPr>
                <w:sz w:val="18"/>
              </w:rPr>
              <w:t>12.2%</w:t>
            </w:r>
          </w:p>
        </w:tc>
      </w:tr>
      <w:tr w:rsidR="008D583C" w:rsidRPr="00706A12" w:rsidTr="00BD671A">
        <w:trPr>
          <w:trHeight w:val="255"/>
          <w:jc w:val="center"/>
        </w:trPr>
        <w:tc>
          <w:tcPr>
            <w:tcW w:w="2200" w:type="dxa"/>
            <w:shd w:val="clear" w:color="auto" w:fill="auto"/>
            <w:noWrap/>
            <w:vAlign w:val="bottom"/>
          </w:tcPr>
          <w:p w:rsidR="008D583C" w:rsidRPr="00DF6752" w:rsidRDefault="008D583C" w:rsidP="00BD671A">
            <w:pPr>
              <w:jc w:val="center"/>
              <w:rPr>
                <w:sz w:val="18"/>
                <w:szCs w:val="20"/>
              </w:rPr>
            </w:pPr>
            <w:r w:rsidRPr="00DF6752">
              <w:rPr>
                <w:sz w:val="18"/>
                <w:szCs w:val="20"/>
              </w:rPr>
              <w:t>Spiral 23A</w:t>
            </w:r>
          </w:p>
        </w:tc>
        <w:tc>
          <w:tcPr>
            <w:tcW w:w="1540" w:type="dxa"/>
            <w:shd w:val="clear" w:color="auto" w:fill="auto"/>
            <w:noWrap/>
          </w:tcPr>
          <w:p w:rsidR="008D583C" w:rsidRPr="00DF6752" w:rsidRDefault="008D583C" w:rsidP="00BD671A">
            <w:pPr>
              <w:jc w:val="center"/>
              <w:rPr>
                <w:sz w:val="18"/>
                <w:szCs w:val="20"/>
              </w:rPr>
            </w:pPr>
            <w:r>
              <w:rPr>
                <w:sz w:val="18"/>
                <w:szCs w:val="20"/>
              </w:rPr>
              <w:t>81.3</w:t>
            </w:r>
            <w:r w:rsidRPr="00DF6752">
              <w:rPr>
                <w:sz w:val="18"/>
                <w:szCs w:val="20"/>
              </w:rPr>
              <w:t>%</w:t>
            </w:r>
          </w:p>
        </w:tc>
        <w:tc>
          <w:tcPr>
            <w:tcW w:w="1520" w:type="dxa"/>
            <w:shd w:val="clear" w:color="auto" w:fill="auto"/>
            <w:noWrap/>
          </w:tcPr>
          <w:p w:rsidR="008D583C" w:rsidRPr="009A51A6" w:rsidRDefault="008D583C" w:rsidP="00BD671A">
            <w:pPr>
              <w:jc w:val="center"/>
              <w:rPr>
                <w:sz w:val="18"/>
              </w:rPr>
            </w:pPr>
            <w:r w:rsidRPr="009A51A6">
              <w:rPr>
                <w:sz w:val="18"/>
              </w:rPr>
              <w:t>25.0%</w:t>
            </w:r>
          </w:p>
        </w:tc>
      </w:tr>
      <w:tr w:rsidR="008D583C" w:rsidRPr="00706A12" w:rsidTr="00BD671A">
        <w:trPr>
          <w:trHeight w:val="255"/>
          <w:jc w:val="center"/>
        </w:trPr>
        <w:tc>
          <w:tcPr>
            <w:tcW w:w="2200" w:type="dxa"/>
            <w:shd w:val="clear" w:color="auto" w:fill="auto"/>
            <w:noWrap/>
            <w:vAlign w:val="bottom"/>
          </w:tcPr>
          <w:p w:rsidR="008D583C" w:rsidRPr="00DF6752" w:rsidRDefault="008D583C" w:rsidP="00BD671A">
            <w:pPr>
              <w:jc w:val="center"/>
              <w:rPr>
                <w:sz w:val="18"/>
                <w:szCs w:val="20"/>
              </w:rPr>
            </w:pPr>
            <w:r w:rsidRPr="00DF6752">
              <w:rPr>
                <w:sz w:val="18"/>
                <w:szCs w:val="20"/>
              </w:rPr>
              <w:t>Spiral 23B</w:t>
            </w:r>
          </w:p>
        </w:tc>
        <w:tc>
          <w:tcPr>
            <w:tcW w:w="1540" w:type="dxa"/>
            <w:shd w:val="clear" w:color="auto" w:fill="auto"/>
            <w:noWrap/>
          </w:tcPr>
          <w:p w:rsidR="008D583C" w:rsidRPr="00DF6752" w:rsidRDefault="008D583C" w:rsidP="00BD671A">
            <w:pPr>
              <w:jc w:val="center"/>
              <w:rPr>
                <w:sz w:val="18"/>
                <w:szCs w:val="20"/>
              </w:rPr>
            </w:pPr>
            <w:r>
              <w:rPr>
                <w:sz w:val="18"/>
                <w:szCs w:val="20"/>
              </w:rPr>
              <w:t>85.7</w:t>
            </w:r>
            <w:r w:rsidRPr="00DF6752">
              <w:rPr>
                <w:sz w:val="18"/>
                <w:szCs w:val="20"/>
              </w:rPr>
              <w:t>%</w:t>
            </w:r>
          </w:p>
        </w:tc>
        <w:tc>
          <w:tcPr>
            <w:tcW w:w="1520" w:type="dxa"/>
            <w:shd w:val="clear" w:color="auto" w:fill="auto"/>
            <w:noWrap/>
          </w:tcPr>
          <w:p w:rsidR="008D583C" w:rsidRPr="009A51A6" w:rsidRDefault="008D583C" w:rsidP="00BD671A">
            <w:pPr>
              <w:jc w:val="center"/>
              <w:rPr>
                <w:sz w:val="18"/>
              </w:rPr>
            </w:pPr>
            <w:r w:rsidRPr="009A51A6">
              <w:rPr>
                <w:sz w:val="18"/>
              </w:rPr>
              <w:t>30.6%</w:t>
            </w:r>
          </w:p>
        </w:tc>
      </w:tr>
      <w:tr w:rsidR="008D583C" w:rsidRPr="00706A12" w:rsidTr="00BD671A">
        <w:trPr>
          <w:trHeight w:val="255"/>
          <w:jc w:val="center"/>
        </w:trPr>
        <w:tc>
          <w:tcPr>
            <w:tcW w:w="2200" w:type="dxa"/>
            <w:shd w:val="clear" w:color="auto" w:fill="auto"/>
            <w:noWrap/>
            <w:vAlign w:val="bottom"/>
          </w:tcPr>
          <w:p w:rsidR="008D583C" w:rsidRPr="00DF6752" w:rsidRDefault="008D583C" w:rsidP="00BD671A">
            <w:pPr>
              <w:jc w:val="center"/>
              <w:rPr>
                <w:sz w:val="18"/>
                <w:szCs w:val="20"/>
              </w:rPr>
            </w:pPr>
            <w:r w:rsidRPr="00DF6752">
              <w:rPr>
                <w:sz w:val="18"/>
                <w:szCs w:val="20"/>
              </w:rPr>
              <w:t>Spiral 24+</w:t>
            </w:r>
          </w:p>
        </w:tc>
        <w:tc>
          <w:tcPr>
            <w:tcW w:w="1540" w:type="dxa"/>
            <w:shd w:val="clear" w:color="auto" w:fill="auto"/>
            <w:noWrap/>
          </w:tcPr>
          <w:p w:rsidR="008D583C" w:rsidRPr="00DF6752" w:rsidRDefault="008D583C" w:rsidP="00BD671A">
            <w:pPr>
              <w:jc w:val="center"/>
              <w:rPr>
                <w:sz w:val="18"/>
                <w:szCs w:val="20"/>
              </w:rPr>
            </w:pPr>
            <w:r w:rsidRPr="00DF6752">
              <w:rPr>
                <w:sz w:val="18"/>
                <w:szCs w:val="20"/>
              </w:rPr>
              <w:t>85.2%</w:t>
            </w:r>
          </w:p>
        </w:tc>
        <w:tc>
          <w:tcPr>
            <w:tcW w:w="1520" w:type="dxa"/>
            <w:shd w:val="clear" w:color="auto" w:fill="auto"/>
            <w:noWrap/>
          </w:tcPr>
          <w:p w:rsidR="008D583C" w:rsidRPr="009A51A6" w:rsidRDefault="008D583C" w:rsidP="00BD671A">
            <w:pPr>
              <w:jc w:val="center"/>
              <w:rPr>
                <w:sz w:val="18"/>
              </w:rPr>
            </w:pPr>
            <w:r w:rsidRPr="009A51A6">
              <w:rPr>
                <w:sz w:val="18"/>
              </w:rPr>
              <w:t>20.4%</w:t>
            </w:r>
          </w:p>
        </w:tc>
      </w:tr>
      <w:tr w:rsidR="008D583C" w:rsidRPr="00706A12" w:rsidTr="00BD671A">
        <w:trPr>
          <w:trHeight w:val="255"/>
          <w:jc w:val="center"/>
        </w:trPr>
        <w:tc>
          <w:tcPr>
            <w:tcW w:w="2200" w:type="dxa"/>
            <w:shd w:val="clear" w:color="auto" w:fill="auto"/>
            <w:noWrap/>
            <w:vAlign w:val="bottom"/>
          </w:tcPr>
          <w:p w:rsidR="008D583C" w:rsidRPr="00DF6752" w:rsidRDefault="008D583C" w:rsidP="00BD671A">
            <w:pPr>
              <w:jc w:val="center"/>
              <w:rPr>
                <w:sz w:val="18"/>
                <w:szCs w:val="20"/>
              </w:rPr>
            </w:pPr>
            <w:r w:rsidRPr="00DF6752">
              <w:rPr>
                <w:sz w:val="18"/>
                <w:szCs w:val="20"/>
              </w:rPr>
              <w:t>Non–ENERGY STAR</w:t>
            </w:r>
          </w:p>
        </w:tc>
        <w:tc>
          <w:tcPr>
            <w:tcW w:w="1540" w:type="dxa"/>
            <w:shd w:val="clear" w:color="auto" w:fill="auto"/>
            <w:noWrap/>
          </w:tcPr>
          <w:p w:rsidR="008D583C" w:rsidRPr="00DF6752" w:rsidRDefault="008D583C" w:rsidP="00BD671A">
            <w:pPr>
              <w:jc w:val="center"/>
              <w:rPr>
                <w:sz w:val="18"/>
                <w:szCs w:val="20"/>
              </w:rPr>
            </w:pPr>
            <w:r>
              <w:rPr>
                <w:sz w:val="18"/>
                <w:szCs w:val="20"/>
              </w:rPr>
              <w:t>77.7</w:t>
            </w:r>
            <w:r w:rsidRPr="00DF6752">
              <w:rPr>
                <w:sz w:val="18"/>
                <w:szCs w:val="20"/>
              </w:rPr>
              <w:t>%</w:t>
            </w:r>
          </w:p>
        </w:tc>
        <w:tc>
          <w:tcPr>
            <w:tcW w:w="1520" w:type="dxa"/>
            <w:shd w:val="clear" w:color="auto" w:fill="auto"/>
            <w:noWrap/>
          </w:tcPr>
          <w:p w:rsidR="008D583C" w:rsidRPr="009A51A6" w:rsidRDefault="008D583C" w:rsidP="00BD671A">
            <w:pPr>
              <w:jc w:val="center"/>
              <w:rPr>
                <w:sz w:val="18"/>
              </w:rPr>
            </w:pPr>
            <w:r w:rsidRPr="009A51A6">
              <w:rPr>
                <w:sz w:val="18"/>
              </w:rPr>
              <w:t>40.5%</w:t>
            </w:r>
          </w:p>
        </w:tc>
      </w:tr>
    </w:tbl>
    <w:p w:rsidR="008D583C" w:rsidRPr="00182B3A" w:rsidRDefault="008D583C"/>
    <w:sectPr w:rsidR="008D583C" w:rsidRPr="00182B3A" w:rsidSect="00DB1140">
      <w:headerReference w:type="default" r:id="rId15"/>
      <w:footerReference w:type="default" r:id="rId16"/>
      <w:headerReference w:type="firs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82E" w:rsidRDefault="0000082E" w:rsidP="00C26E47">
      <w:pPr>
        <w:spacing w:after="0" w:line="240" w:lineRule="auto"/>
      </w:pPr>
      <w:r>
        <w:separator/>
      </w:r>
    </w:p>
  </w:endnote>
  <w:endnote w:type="continuationSeparator" w:id="0">
    <w:p w:rsidR="0000082E" w:rsidRDefault="0000082E" w:rsidP="00C26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D71" w:rsidRPr="00665FF8" w:rsidRDefault="00220D71">
    <w:pPr>
      <w:pStyle w:val="Footer"/>
      <w:rPr>
        <w:sz w:val="20"/>
        <w:szCs w:val="20"/>
      </w:rPr>
    </w:pPr>
    <w:r w:rsidRPr="00665FF8">
      <w:rPr>
        <w:sz w:val="20"/>
        <w:szCs w:val="20"/>
      </w:rPr>
      <w:tab/>
    </w:r>
    <w:r w:rsidR="00DB65B4" w:rsidRPr="00665FF8">
      <w:rPr>
        <w:sz w:val="20"/>
        <w:szCs w:val="20"/>
      </w:rPr>
      <w:t>P</w:t>
    </w:r>
    <w:r w:rsidRPr="00665FF8">
      <w:rPr>
        <w:sz w:val="20"/>
        <w:szCs w:val="20"/>
      </w:rPr>
      <w:t xml:space="preserve">age </w:t>
    </w:r>
    <w:r w:rsidRPr="00665FF8">
      <w:rPr>
        <w:sz w:val="20"/>
        <w:szCs w:val="20"/>
      </w:rPr>
      <w:fldChar w:fldCharType="begin"/>
    </w:r>
    <w:r w:rsidRPr="00665FF8">
      <w:rPr>
        <w:sz w:val="20"/>
        <w:szCs w:val="20"/>
      </w:rPr>
      <w:instrText xml:space="preserve"> PAGE   \* MERGEFORMAT </w:instrText>
    </w:r>
    <w:r w:rsidRPr="00665FF8">
      <w:rPr>
        <w:sz w:val="20"/>
        <w:szCs w:val="20"/>
      </w:rPr>
      <w:fldChar w:fldCharType="separate"/>
    </w:r>
    <w:r w:rsidR="00952DA6">
      <w:rPr>
        <w:noProof/>
        <w:sz w:val="20"/>
        <w:szCs w:val="20"/>
      </w:rPr>
      <w:t>12</w:t>
    </w:r>
    <w:r w:rsidRPr="00665FF8">
      <w:rPr>
        <w:sz w:val="20"/>
        <w:szCs w:val="20"/>
      </w:rPr>
      <w:fldChar w:fldCharType="end"/>
    </w:r>
    <w:r w:rsidRPr="00665FF8">
      <w:rPr>
        <w:sz w:val="20"/>
        <w:szCs w:val="20"/>
      </w:rPr>
      <w:t xml:space="preserve"> of </w:t>
    </w:r>
    <w:r w:rsidR="00D73C85" w:rsidRPr="00665FF8">
      <w:rPr>
        <w:sz w:val="20"/>
        <w:szCs w:val="20"/>
      </w:rPr>
      <w:fldChar w:fldCharType="begin"/>
    </w:r>
    <w:r w:rsidR="00D73C85" w:rsidRPr="00665FF8">
      <w:rPr>
        <w:sz w:val="20"/>
        <w:szCs w:val="20"/>
      </w:rPr>
      <w:instrText xml:space="preserve"> NUMPAGES   \* MERGEFORMAT </w:instrText>
    </w:r>
    <w:r w:rsidR="00D73C85" w:rsidRPr="00665FF8">
      <w:rPr>
        <w:sz w:val="20"/>
        <w:szCs w:val="20"/>
      </w:rPr>
      <w:fldChar w:fldCharType="separate"/>
    </w:r>
    <w:r w:rsidR="00952DA6">
      <w:rPr>
        <w:noProof/>
        <w:sz w:val="20"/>
        <w:szCs w:val="20"/>
      </w:rPr>
      <w:t>12</w:t>
    </w:r>
    <w:r w:rsidR="00D73C85" w:rsidRPr="00665FF8">
      <w:rPr>
        <w:noProof/>
        <w:sz w:val="20"/>
        <w:szCs w:val="20"/>
      </w:rPr>
      <w:fldChar w:fldCharType="end"/>
    </w:r>
    <w:r w:rsidR="00DB65B4" w:rsidRPr="00665FF8">
      <w:rPr>
        <w:sz w:val="20"/>
        <w:szCs w:val="20"/>
      </w:rPr>
      <w:tab/>
    </w:r>
    <w:r w:rsidR="00952DA6">
      <w:rPr>
        <w:sz w:val="20"/>
        <w:szCs w:val="20"/>
      </w:rPr>
      <w:t>21</w:t>
    </w:r>
    <w:r w:rsidR="00DB65B4" w:rsidRPr="00665FF8">
      <w:rPr>
        <w:sz w:val="20"/>
        <w:szCs w:val="20"/>
      </w:rPr>
      <w:t xml:space="preserve"> May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D71" w:rsidRPr="00665FF8" w:rsidRDefault="00220D71">
    <w:pPr>
      <w:pStyle w:val="Footer"/>
      <w:rPr>
        <w:sz w:val="20"/>
        <w:szCs w:val="20"/>
      </w:rPr>
    </w:pPr>
    <w:r w:rsidRPr="00665FF8">
      <w:rPr>
        <w:sz w:val="20"/>
        <w:szCs w:val="20"/>
      </w:rPr>
      <w:tab/>
    </w:r>
    <w:r w:rsidR="00C83091" w:rsidRPr="00665FF8">
      <w:rPr>
        <w:sz w:val="20"/>
        <w:szCs w:val="20"/>
      </w:rPr>
      <w:t>P</w:t>
    </w:r>
    <w:r w:rsidRPr="00665FF8">
      <w:rPr>
        <w:sz w:val="20"/>
        <w:szCs w:val="20"/>
      </w:rPr>
      <w:t xml:space="preserve">age </w:t>
    </w:r>
    <w:r w:rsidRPr="00665FF8">
      <w:rPr>
        <w:sz w:val="20"/>
        <w:szCs w:val="20"/>
      </w:rPr>
      <w:fldChar w:fldCharType="begin"/>
    </w:r>
    <w:r w:rsidRPr="00665FF8">
      <w:rPr>
        <w:sz w:val="20"/>
        <w:szCs w:val="20"/>
      </w:rPr>
      <w:instrText xml:space="preserve"> PAGE   \* MERGEFORMAT </w:instrText>
    </w:r>
    <w:r w:rsidRPr="00665FF8">
      <w:rPr>
        <w:sz w:val="20"/>
        <w:szCs w:val="20"/>
      </w:rPr>
      <w:fldChar w:fldCharType="separate"/>
    </w:r>
    <w:r w:rsidR="00952DA6">
      <w:rPr>
        <w:noProof/>
        <w:sz w:val="20"/>
        <w:szCs w:val="20"/>
      </w:rPr>
      <w:t>1</w:t>
    </w:r>
    <w:r w:rsidRPr="00665FF8">
      <w:rPr>
        <w:sz w:val="20"/>
        <w:szCs w:val="20"/>
      </w:rPr>
      <w:fldChar w:fldCharType="end"/>
    </w:r>
    <w:r w:rsidRPr="00665FF8">
      <w:rPr>
        <w:sz w:val="20"/>
        <w:szCs w:val="20"/>
      </w:rPr>
      <w:t xml:space="preserve"> of </w:t>
    </w:r>
    <w:r w:rsidR="00D73C85" w:rsidRPr="00665FF8">
      <w:rPr>
        <w:sz w:val="20"/>
        <w:szCs w:val="20"/>
      </w:rPr>
      <w:fldChar w:fldCharType="begin"/>
    </w:r>
    <w:r w:rsidR="00D73C85" w:rsidRPr="00665FF8">
      <w:rPr>
        <w:sz w:val="20"/>
        <w:szCs w:val="20"/>
      </w:rPr>
      <w:instrText xml:space="preserve"> NUMPAGES   \* MERGEFORMAT </w:instrText>
    </w:r>
    <w:r w:rsidR="00D73C85" w:rsidRPr="00665FF8">
      <w:rPr>
        <w:sz w:val="20"/>
        <w:szCs w:val="20"/>
      </w:rPr>
      <w:fldChar w:fldCharType="separate"/>
    </w:r>
    <w:r w:rsidR="00952DA6">
      <w:rPr>
        <w:noProof/>
        <w:sz w:val="20"/>
        <w:szCs w:val="20"/>
      </w:rPr>
      <w:t>12</w:t>
    </w:r>
    <w:r w:rsidR="00D73C85" w:rsidRPr="00665FF8">
      <w:rPr>
        <w:noProof/>
        <w:sz w:val="20"/>
        <w:szCs w:val="20"/>
      </w:rPr>
      <w:fldChar w:fldCharType="end"/>
    </w:r>
    <w:r w:rsidR="00C83091" w:rsidRPr="00665FF8">
      <w:rPr>
        <w:noProof/>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82E" w:rsidRDefault="0000082E" w:rsidP="00C26E47">
      <w:pPr>
        <w:spacing w:after="0" w:line="240" w:lineRule="auto"/>
      </w:pPr>
      <w:r>
        <w:separator/>
      </w:r>
    </w:p>
  </w:footnote>
  <w:footnote w:type="continuationSeparator" w:id="0">
    <w:p w:rsidR="0000082E" w:rsidRDefault="0000082E" w:rsidP="00C26E47">
      <w:pPr>
        <w:spacing w:after="0" w:line="240" w:lineRule="auto"/>
      </w:pPr>
      <w:r>
        <w:continuationSeparator/>
      </w:r>
    </w:p>
  </w:footnote>
  <w:footnote w:id="1">
    <w:p w:rsidR="00050E1C" w:rsidRDefault="00050E1C">
      <w:pPr>
        <w:pStyle w:val="FootnoteText"/>
      </w:pPr>
      <w:r>
        <w:rPr>
          <w:rStyle w:val="FootnoteReference"/>
        </w:rPr>
        <w:footnoteRef/>
      </w:r>
      <w:r>
        <w:t xml:space="preserve"> </w:t>
      </w:r>
      <w:r w:rsidRPr="00050E1C">
        <w:t>FINAL REPORT, WO21: Residential On-site Study: California Lighting and Appliance Saturation Study (CLASS 2012), Prepared for: California Public Utilities Commission, Energy Division 2010-2012 EM&amp;V Work Order 21 – Residential On-site Study, Prepared by: KEMA, Inc., November 24, 2014.</w:t>
      </w:r>
    </w:p>
  </w:footnote>
  <w:footnote w:id="2">
    <w:p w:rsidR="00050E1C" w:rsidRDefault="00050E1C">
      <w:pPr>
        <w:pStyle w:val="FootnoteText"/>
      </w:pPr>
      <w:r>
        <w:rPr>
          <w:rStyle w:val="FootnoteReference"/>
        </w:rPr>
        <w:footnoteRef/>
      </w:r>
      <w:r>
        <w:t xml:space="preserve"> </w:t>
      </w:r>
      <w:r w:rsidRPr="00050E1C">
        <w:t>California Upstream and Residential Lighting Impact Evaluation, Work Order 28 (WO28) Final Report, California Public Utility Commission, Energy Division, Prepared by KEMA, Inc., 8/4/2014.</w:t>
      </w:r>
    </w:p>
  </w:footnote>
  <w:footnote w:id="3">
    <w:p w:rsidR="008019E6" w:rsidRDefault="008019E6">
      <w:pPr>
        <w:pStyle w:val="FootnoteText"/>
      </w:pPr>
      <w:r>
        <w:rPr>
          <w:rStyle w:val="FootnoteReference"/>
        </w:rPr>
        <w:footnoteRef/>
      </w:r>
      <w:r>
        <w:t xml:space="preserve"> </w:t>
      </w:r>
      <w:r w:rsidRPr="008019E6">
        <w:t xml:space="preserve">Refer to “DEER2014-Lighting-IE_and_Adjustment-Factor-Tables-17Feb2014.xlsx”, sheet “Example </w:t>
      </w:r>
      <w:proofErr w:type="spellStart"/>
      <w:r w:rsidRPr="008019E6">
        <w:t>Calcs</w:t>
      </w:r>
      <w:proofErr w:type="spellEnd"/>
      <w:r w:rsidRPr="008019E6">
        <w:t>” available at www.deeresources.com.</w:t>
      </w:r>
    </w:p>
  </w:footnote>
  <w:footnote w:id="4">
    <w:p w:rsidR="00D74799" w:rsidRDefault="00D74799">
      <w:pPr>
        <w:pStyle w:val="FootnoteText"/>
      </w:pPr>
      <w:r>
        <w:rPr>
          <w:rStyle w:val="FootnoteReference"/>
        </w:rPr>
        <w:footnoteRef/>
      </w:r>
      <w:r>
        <w:t xml:space="preserve"> </w:t>
      </w:r>
      <w:r w:rsidRPr="00D74799">
        <w:t xml:space="preserve">Final Evaluation Report: Upstream Lighting Program Volume 1 and Volume 2, Prepared by: KEMA, Inc., Prime Contractor: The Cadmus Group, Inc., </w:t>
      </w:r>
      <w:r w:rsidR="007F15C5">
        <w:t xml:space="preserve">for the </w:t>
      </w:r>
      <w:r w:rsidRPr="00D74799">
        <w:t>California Public Utilities Commission, Energy Division February 8, 2010.</w:t>
      </w:r>
    </w:p>
  </w:footnote>
  <w:footnote w:id="5">
    <w:p w:rsidR="00D74799" w:rsidRDefault="00D74799">
      <w:pPr>
        <w:pStyle w:val="FootnoteText"/>
      </w:pPr>
      <w:r>
        <w:rPr>
          <w:rStyle w:val="FootnoteReference"/>
        </w:rPr>
        <w:footnoteRef/>
      </w:r>
      <w:r>
        <w:t xml:space="preserve"> </w:t>
      </w:r>
      <w:r w:rsidRPr="00D74799">
        <w:rPr>
          <w:i/>
        </w:rPr>
        <w:t>Ibid.</w:t>
      </w:r>
      <w:r>
        <w:t xml:space="preserve"> 2.</w:t>
      </w:r>
    </w:p>
  </w:footnote>
  <w:footnote w:id="6">
    <w:p w:rsidR="007F15C5" w:rsidRDefault="007F15C5">
      <w:pPr>
        <w:pStyle w:val="FootnoteText"/>
      </w:pPr>
      <w:r>
        <w:rPr>
          <w:rStyle w:val="FootnoteReference"/>
        </w:rPr>
        <w:footnoteRef/>
      </w:r>
      <w:r>
        <w:t xml:space="preserve"> Small Commercial Contract Group Direct Impact Evaluation Report, prepared by </w:t>
      </w:r>
      <w:proofErr w:type="spellStart"/>
      <w:r>
        <w:t>Itron</w:t>
      </w:r>
      <w:proofErr w:type="spellEnd"/>
      <w:r>
        <w:t>, Inc., prepared for California Public Utilities Commission, February 9, 2010.</w:t>
      </w:r>
    </w:p>
  </w:footnote>
  <w:footnote w:id="7">
    <w:p w:rsidR="007F15C5" w:rsidRDefault="007F15C5" w:rsidP="007F15C5">
      <w:pPr>
        <w:pStyle w:val="FootnoteText"/>
      </w:pPr>
      <w:r>
        <w:rPr>
          <w:rStyle w:val="FootnoteReference"/>
        </w:rPr>
        <w:footnoteRef/>
      </w:r>
      <w:r>
        <w:t xml:space="preserve"> Nonresidential Downstream Lighting Impact Evaluation Report, Final Report and Final Report Appendices</w:t>
      </w:r>
      <w:r w:rsidR="00E55BE7">
        <w:t>, p</w:t>
      </w:r>
      <w:r>
        <w:t xml:space="preserve">repared for California Public Utilities Commission, by </w:t>
      </w:r>
      <w:proofErr w:type="spellStart"/>
      <w:r w:rsidRPr="007F15C5">
        <w:t>Itron</w:t>
      </w:r>
      <w:proofErr w:type="spellEnd"/>
      <w:r w:rsidRPr="007F15C5">
        <w:t>, Inc.</w:t>
      </w:r>
      <w:r>
        <w:t xml:space="preserve">, </w:t>
      </w:r>
      <w:r w:rsidRPr="007F15C5">
        <w:t>August 5, 2014</w:t>
      </w:r>
      <w:r>
        <w:t>.</w:t>
      </w:r>
    </w:p>
  </w:footnote>
  <w:footnote w:id="8">
    <w:p w:rsidR="005204C3" w:rsidRDefault="005204C3">
      <w:pPr>
        <w:pStyle w:val="FootnoteText"/>
      </w:pPr>
      <w:r>
        <w:rPr>
          <w:rStyle w:val="FootnoteReference"/>
        </w:rPr>
        <w:footnoteRef/>
      </w:r>
      <w:r>
        <w:t xml:space="preserve"> See the “</w:t>
      </w:r>
      <w:r w:rsidRPr="005204C3">
        <w:t>DEER2016 Commercial Indoor Lighting Profiles Development workbook</w:t>
      </w:r>
      <w:r>
        <w:t>” link under the “</w:t>
      </w:r>
      <w:r w:rsidRPr="005204C3">
        <w:t>Commercial Indoor Lighting Profiles</w:t>
      </w:r>
      <w:r>
        <w:t xml:space="preserve">” heading on the DEER2016 page at </w:t>
      </w:r>
      <w:hyperlink r:id="rId1" w:history="1">
        <w:r>
          <w:rPr>
            <w:rStyle w:val="Hyperlink"/>
          </w:rPr>
          <w:t>http://deeresources.com/</w:t>
        </w:r>
      </w:hyperlink>
      <w:r>
        <w:t xml:space="preserve"> </w:t>
      </w:r>
    </w:p>
  </w:footnote>
  <w:footnote w:id="9">
    <w:p w:rsidR="00714BF2" w:rsidRDefault="00714BF2">
      <w:pPr>
        <w:pStyle w:val="FootnoteText"/>
      </w:pPr>
      <w:r>
        <w:rPr>
          <w:rStyle w:val="FootnoteReference"/>
        </w:rPr>
        <w:footnoteRef/>
      </w:r>
      <w:r>
        <w:t xml:space="preserve"> </w:t>
      </w:r>
      <w:r w:rsidRPr="00D74799">
        <w:rPr>
          <w:i/>
        </w:rPr>
        <w:t>Ibid.</w:t>
      </w:r>
      <w:r>
        <w:t xml:space="preserve"> 2.</w:t>
      </w:r>
    </w:p>
  </w:footnote>
  <w:footnote w:id="10">
    <w:p w:rsidR="0026235D" w:rsidRDefault="0026235D">
      <w:pPr>
        <w:pStyle w:val="FootnoteText"/>
      </w:pPr>
      <w:r>
        <w:rPr>
          <w:rStyle w:val="FootnoteReference"/>
        </w:rPr>
        <w:footnoteRef/>
      </w:r>
      <w:r>
        <w:t xml:space="preserve"> </w:t>
      </w:r>
      <w:r w:rsidRPr="00D74799">
        <w:rPr>
          <w:i/>
        </w:rPr>
        <w:t>Ibid.</w:t>
      </w:r>
      <w:r>
        <w:t xml:space="preserve"> 4.</w:t>
      </w:r>
    </w:p>
  </w:footnote>
  <w:footnote w:id="11">
    <w:p w:rsidR="0026235D" w:rsidRDefault="0026235D">
      <w:pPr>
        <w:pStyle w:val="FootnoteText"/>
      </w:pPr>
      <w:r>
        <w:rPr>
          <w:rStyle w:val="FootnoteReference"/>
        </w:rPr>
        <w:footnoteRef/>
      </w:r>
      <w:r>
        <w:t xml:space="preserve"> </w:t>
      </w:r>
      <w:r w:rsidRPr="00D74799">
        <w:rPr>
          <w:i/>
        </w:rPr>
        <w:t>Ibid.</w:t>
      </w:r>
      <w:r>
        <w:t xml:space="preserve"> 1.</w:t>
      </w:r>
    </w:p>
  </w:footnote>
  <w:footnote w:id="12">
    <w:p w:rsidR="00B32DE0" w:rsidRDefault="00B32DE0">
      <w:pPr>
        <w:pStyle w:val="FootnoteText"/>
      </w:pPr>
      <w:r>
        <w:rPr>
          <w:rStyle w:val="FootnoteReference"/>
        </w:rPr>
        <w:footnoteRef/>
      </w:r>
      <w:r>
        <w:t xml:space="preserve"> D.12-05-015 at 351:</w:t>
      </w:r>
    </w:p>
    <w:p w:rsidR="00B32DE0" w:rsidRDefault="00B32DE0" w:rsidP="00EC0E5E">
      <w:pPr>
        <w:pStyle w:val="FootnoteText"/>
        <w:ind w:left="360" w:firstLine="360"/>
        <w:rPr>
          <w:i/>
        </w:rPr>
      </w:pPr>
      <w:r w:rsidRPr="00B32DE0">
        <w:rPr>
          <w:i/>
        </w:rPr>
        <w:t>In the cases when there is no regulation, code, or standard that applies,</w:t>
      </w:r>
      <w:r>
        <w:rPr>
          <w:i/>
        </w:rPr>
        <w:t xml:space="preserve"> </w:t>
      </w:r>
      <w:r w:rsidRPr="00B32DE0">
        <w:rPr>
          <w:i/>
        </w:rPr>
        <w:t>which would normally set the baseline equipment requirements, the baseline</w:t>
      </w:r>
      <w:r>
        <w:rPr>
          <w:i/>
        </w:rPr>
        <w:t xml:space="preserve"> </w:t>
      </w:r>
      <w:r w:rsidRPr="00B32DE0">
        <w:rPr>
          <w:i/>
        </w:rPr>
        <w:t>must be established using a “standard practice” choice. For purposes of</w:t>
      </w:r>
      <w:r>
        <w:rPr>
          <w:i/>
        </w:rPr>
        <w:t xml:space="preserve"> </w:t>
      </w:r>
      <w:r w:rsidRPr="00B32DE0">
        <w:rPr>
          <w:i/>
        </w:rPr>
        <w:t>establishing a baseline for energy savings, we interpret the standard practice case</w:t>
      </w:r>
      <w:r>
        <w:rPr>
          <w:i/>
        </w:rPr>
        <w:t xml:space="preserve"> </w:t>
      </w:r>
      <w:r w:rsidRPr="00B32DE0">
        <w:rPr>
          <w:i/>
        </w:rPr>
        <w:t>as a choice that represents the typical equipment or commonly-used practice, not</w:t>
      </w:r>
      <w:r>
        <w:rPr>
          <w:i/>
        </w:rPr>
        <w:t xml:space="preserve"> </w:t>
      </w:r>
      <w:r w:rsidRPr="00B32DE0">
        <w:rPr>
          <w:i/>
        </w:rPr>
        <w:t>necessarily predominantly used practice. We understand that the range of</w:t>
      </w:r>
      <w:r>
        <w:rPr>
          <w:i/>
        </w:rPr>
        <w:t xml:space="preserve"> </w:t>
      </w:r>
      <w:r w:rsidRPr="00B32DE0">
        <w:rPr>
          <w:i/>
        </w:rPr>
        <w:t>common practices may vary depending on many industry- and/or</w:t>
      </w:r>
      <w:r>
        <w:rPr>
          <w:i/>
        </w:rPr>
        <w:t xml:space="preserve"> </w:t>
      </w:r>
      <w:r w:rsidRPr="00B32DE0">
        <w:rPr>
          <w:i/>
        </w:rPr>
        <w:t>region-specific factors and that, as with other parameters, experts may provide a</w:t>
      </w:r>
      <w:r>
        <w:rPr>
          <w:i/>
        </w:rPr>
        <w:t xml:space="preserve"> </w:t>
      </w:r>
      <w:r w:rsidRPr="00B32DE0">
        <w:rPr>
          <w:i/>
        </w:rPr>
        <w:t>range of opinions on the interpretation of evidence for standard practice choice.</w:t>
      </w:r>
      <w:r>
        <w:rPr>
          <w:i/>
        </w:rPr>
        <w:t xml:space="preserve"> </w:t>
      </w:r>
      <w:r w:rsidRPr="00B32DE0">
        <w:rPr>
          <w:i/>
        </w:rPr>
        <w:t>Here again, we expect Commission Staff to use its ex ante review process to</w:t>
      </w:r>
      <w:r>
        <w:rPr>
          <w:i/>
        </w:rPr>
        <w:t xml:space="preserve"> </w:t>
      </w:r>
      <w:r w:rsidRPr="00B32DE0">
        <w:rPr>
          <w:i/>
        </w:rPr>
        <w:t>establish guidelines on how to determine a standard practice baseline.</w:t>
      </w:r>
    </w:p>
    <w:p w:rsidR="002674C2" w:rsidRPr="00B32DE0" w:rsidRDefault="00B32DE0" w:rsidP="00166D4A">
      <w:pPr>
        <w:pStyle w:val="FootnoteText"/>
        <w:ind w:left="360" w:firstLine="360"/>
      </w:pPr>
      <w:r w:rsidRPr="00B32DE0">
        <w:rPr>
          <w:i/>
        </w:rPr>
        <w:t>Independent of the baseline selection criteria, we would not expect that</w:t>
      </w:r>
      <w:r>
        <w:rPr>
          <w:i/>
        </w:rPr>
        <w:t xml:space="preserve"> </w:t>
      </w:r>
      <w:r w:rsidRPr="00B32DE0">
        <w:rPr>
          <w:i/>
        </w:rPr>
        <w:t>new equipment proposed for program incentive support would be simply a</w:t>
      </w:r>
      <w:r>
        <w:rPr>
          <w:i/>
        </w:rPr>
        <w:t xml:space="preserve"> </w:t>
      </w:r>
      <w:r w:rsidRPr="00B32DE0">
        <w:rPr>
          <w:i/>
        </w:rPr>
        <w:t>like-replacement of the existing equipment in efficiency level, as this would</w:t>
      </w:r>
      <w:r>
        <w:rPr>
          <w:i/>
        </w:rPr>
        <w:t xml:space="preserve"> </w:t>
      </w:r>
      <w:r w:rsidRPr="00B32DE0">
        <w:rPr>
          <w:i/>
        </w:rPr>
        <w:t>imply either a repair or normal replacement that</w:t>
      </w:r>
      <w:r w:rsidR="002674C2">
        <w:rPr>
          <w:i/>
        </w:rPr>
        <w:t xml:space="preserve"> would not qualif</w:t>
      </w:r>
      <w:r w:rsidRPr="00B32DE0">
        <w:rPr>
          <w:i/>
        </w:rPr>
        <w:t>y as an energy</w:t>
      </w:r>
      <w:r>
        <w:rPr>
          <w:i/>
        </w:rPr>
        <w:t xml:space="preserve"> </w:t>
      </w:r>
      <w:r w:rsidRPr="00B32DE0">
        <w:rPr>
          <w:i/>
        </w:rPr>
        <w:t>efficiency upgrade, unless: (1) the proposed equipment exceeds standard</w:t>
      </w:r>
      <w:r>
        <w:rPr>
          <w:i/>
        </w:rPr>
        <w:t xml:space="preserve"> </w:t>
      </w:r>
      <w:r w:rsidRPr="00B32DE0">
        <w:rPr>
          <w:i/>
        </w:rPr>
        <w:t>practice or code, and (2) there is clear evidence that without support, the</w:t>
      </w:r>
      <w:r>
        <w:rPr>
          <w:i/>
        </w:rPr>
        <w:t xml:space="preserve"> </w:t>
      </w:r>
      <w:r w:rsidRPr="00B32DE0">
        <w:rPr>
          <w:i/>
        </w:rPr>
        <w:t>efficiency level would fall to the standard practice or code minimum.</w:t>
      </w:r>
    </w:p>
  </w:footnote>
  <w:footnote w:id="13">
    <w:p w:rsidR="00772CEA" w:rsidRDefault="00772CEA" w:rsidP="00772CEA">
      <w:pPr>
        <w:pStyle w:val="FootnoteText"/>
      </w:pPr>
      <w:r>
        <w:rPr>
          <w:rStyle w:val="FootnoteReference"/>
        </w:rPr>
        <w:footnoteRef/>
      </w:r>
      <w:r>
        <w:t xml:space="preserve"> CFL Laboratory Testing Report Results from a CFL Switching Cycle and Photometric Laboratory Study, prepared for </w:t>
      </w:r>
      <w:r w:rsidRPr="00772CEA">
        <w:t>California Public Utilities Commission</w:t>
      </w:r>
      <w:r>
        <w:t xml:space="preserve">, prepared by </w:t>
      </w:r>
      <w:r w:rsidRPr="00772CEA">
        <w:t>James J. Hirsch and Associates</w:t>
      </w:r>
      <w:r>
        <w:t>, (draft) March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091" w:rsidRPr="00665FF8" w:rsidRDefault="00C83091" w:rsidP="00C83091">
    <w:pPr>
      <w:spacing w:after="0"/>
      <w:jc w:val="right"/>
      <w:rPr>
        <w:sz w:val="20"/>
        <w:szCs w:val="20"/>
      </w:rPr>
    </w:pPr>
    <w:r w:rsidRPr="00665FF8">
      <w:rPr>
        <w:sz w:val="20"/>
        <w:szCs w:val="20"/>
      </w:rPr>
      <w:t>Ex Ante Update for ESPI Uncertain measures</w:t>
    </w:r>
  </w:p>
  <w:p w:rsidR="00220D71" w:rsidRPr="00665FF8" w:rsidRDefault="00C83091" w:rsidP="00C83091">
    <w:pPr>
      <w:pStyle w:val="Header"/>
      <w:jc w:val="right"/>
      <w:rPr>
        <w:rFonts w:ascii="Arial" w:hAnsi="Arial" w:cs="Arial"/>
        <w:i/>
        <w:sz w:val="20"/>
        <w:szCs w:val="20"/>
      </w:rPr>
    </w:pPr>
    <w:r w:rsidRPr="00665FF8">
      <w:rPr>
        <w:sz w:val="20"/>
        <w:szCs w:val="20"/>
      </w:rPr>
      <w:t>Compact Fluorescent Lamps 30 Watts</w:t>
    </w:r>
    <w:r w:rsidR="00490041" w:rsidRPr="00665FF8">
      <w:rPr>
        <w:sz w:val="20"/>
        <w:szCs w:val="20"/>
      </w:rPr>
      <w:t xml:space="preserve"> and Less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091" w:rsidRPr="00C83091" w:rsidRDefault="00C83091" w:rsidP="00C83091">
    <w:pPr>
      <w:spacing w:after="0"/>
      <w:jc w:val="center"/>
      <w:rPr>
        <w:b/>
        <w:sz w:val="24"/>
        <w:szCs w:val="24"/>
      </w:rPr>
    </w:pPr>
    <w:r w:rsidRPr="00C83091">
      <w:rPr>
        <w:b/>
        <w:sz w:val="24"/>
        <w:szCs w:val="24"/>
      </w:rPr>
      <w:t>Ex Ante Update for ESPI Uncertain measures</w:t>
    </w:r>
  </w:p>
  <w:p w:rsidR="00C83091" w:rsidRPr="00C83091" w:rsidRDefault="00C83091" w:rsidP="00C83091">
    <w:pPr>
      <w:pStyle w:val="Header"/>
      <w:jc w:val="center"/>
      <w:rPr>
        <w:b/>
      </w:rPr>
    </w:pPr>
    <w:r w:rsidRPr="00C83091">
      <w:rPr>
        <w:b/>
      </w:rPr>
      <w:t>Compact Fluorescent Lamps 30 Watts</w:t>
    </w:r>
    <w:r w:rsidR="00490041">
      <w:rPr>
        <w:b/>
      </w:rPr>
      <w:t xml:space="preserve"> and Less</w:t>
    </w:r>
  </w:p>
  <w:p w:rsidR="00C83091" w:rsidRDefault="00952DA6" w:rsidP="00C83091">
    <w:pPr>
      <w:pStyle w:val="Header"/>
      <w:jc w:val="center"/>
      <w:rPr>
        <w:b/>
      </w:rPr>
    </w:pPr>
    <w:r>
      <w:rPr>
        <w:b/>
      </w:rPr>
      <w:t>21</w:t>
    </w:r>
    <w:r w:rsidR="00C83091" w:rsidRPr="00C83091">
      <w:rPr>
        <w:b/>
      </w:rPr>
      <w:t xml:space="preserve"> May 2015</w:t>
    </w:r>
  </w:p>
  <w:p w:rsidR="00C83091" w:rsidRPr="00C83091" w:rsidRDefault="00C83091" w:rsidP="00C83091">
    <w:pPr>
      <w:pStyle w:val="Header"/>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D4275"/>
    <w:multiLevelType w:val="hybridMultilevel"/>
    <w:tmpl w:val="85F0E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82659"/>
    <w:multiLevelType w:val="multilevel"/>
    <w:tmpl w:val="F10284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04" w:hanging="504"/>
      </w:pPr>
      <w:rPr>
        <w:rFonts w:hint="default"/>
        <w:b/>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D75B2E"/>
    <w:multiLevelType w:val="hybridMultilevel"/>
    <w:tmpl w:val="594C3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74951"/>
    <w:multiLevelType w:val="multilevel"/>
    <w:tmpl w:val="453C9C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04" w:hanging="504"/>
      </w:pPr>
      <w:rPr>
        <w:b/>
      </w:rPr>
    </w:lvl>
    <w:lvl w:ilvl="3">
      <w:start w:val="1"/>
      <w:numFmt w:val="decimal"/>
      <w:lvlText w:val="%1.%2.%3.%4."/>
      <w:lvlJc w:val="left"/>
      <w:pPr>
        <w:ind w:left="1728" w:hanging="648"/>
      </w:pPr>
      <w:rPr>
        <w:b/>
        <w:u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8D5BCF"/>
    <w:multiLevelType w:val="hybridMultilevel"/>
    <w:tmpl w:val="A676AC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D973A5"/>
    <w:multiLevelType w:val="hybridMultilevel"/>
    <w:tmpl w:val="A7F4AB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090B38"/>
    <w:multiLevelType w:val="hybridMultilevel"/>
    <w:tmpl w:val="0EEE2D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8D027FD"/>
    <w:multiLevelType w:val="hybridMultilevel"/>
    <w:tmpl w:val="A7F4AB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0022B04"/>
    <w:multiLevelType w:val="multilevel"/>
    <w:tmpl w:val="9AE01F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04" w:hanging="504"/>
      </w:pPr>
      <w:rPr>
        <w:rFonts w:hint="default"/>
        <w:b/>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941699"/>
    <w:multiLevelType w:val="multilevel"/>
    <w:tmpl w:val="B16CEDD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04" w:hanging="504"/>
      </w:pPr>
      <w:rPr>
        <w:rFonts w:hint="default"/>
        <w:b/>
      </w:rPr>
    </w:lvl>
    <w:lvl w:ilvl="3">
      <w:start w:val="2"/>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D35788"/>
    <w:multiLevelType w:val="multilevel"/>
    <w:tmpl w:val="B16CEDD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04" w:hanging="504"/>
      </w:pPr>
      <w:rPr>
        <w:rFonts w:hint="default"/>
        <w:b/>
      </w:rPr>
    </w:lvl>
    <w:lvl w:ilvl="3">
      <w:start w:val="2"/>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64D24B9"/>
    <w:multiLevelType w:val="hybridMultilevel"/>
    <w:tmpl w:val="180CE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7F7DB1"/>
    <w:multiLevelType w:val="hybridMultilevel"/>
    <w:tmpl w:val="6E0C5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B8013F"/>
    <w:multiLevelType w:val="hybridMultilevel"/>
    <w:tmpl w:val="1DA0D0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C107242"/>
    <w:multiLevelType w:val="hybridMultilevel"/>
    <w:tmpl w:val="24869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8851CC"/>
    <w:multiLevelType w:val="hybridMultilevel"/>
    <w:tmpl w:val="70BC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7411CA"/>
    <w:multiLevelType w:val="multilevel"/>
    <w:tmpl w:val="5AB2EA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AD2C09"/>
    <w:multiLevelType w:val="hybridMultilevel"/>
    <w:tmpl w:val="38B87272"/>
    <w:lvl w:ilvl="0" w:tplc="9E68778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5E60C0"/>
    <w:multiLevelType w:val="multilevel"/>
    <w:tmpl w:val="3D30E1E2"/>
    <w:lvl w:ilvl="0">
      <w:start w:val="1"/>
      <w:numFmt w:val="decimal"/>
      <w:lvlText w:val="%1."/>
      <w:lvlJc w:val="left"/>
      <w:pPr>
        <w:ind w:left="1440" w:hanging="360"/>
      </w:pPr>
    </w:lvl>
    <w:lvl w:ilvl="1">
      <w:start w:val="1"/>
      <w:numFmt w:val="decimal"/>
      <w:isLgl/>
      <w:lvlText w:val="%1.%2"/>
      <w:lvlJc w:val="left"/>
      <w:pPr>
        <w:ind w:left="1536" w:hanging="456"/>
      </w:pPr>
      <w:rPr>
        <w:rFonts w:hint="default"/>
      </w:rPr>
    </w:lvl>
    <w:lvl w:ilvl="2">
      <w:start w:val="2"/>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5D6544F5"/>
    <w:multiLevelType w:val="hybridMultilevel"/>
    <w:tmpl w:val="57220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245265"/>
    <w:multiLevelType w:val="hybridMultilevel"/>
    <w:tmpl w:val="84B6D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9A2534"/>
    <w:multiLevelType w:val="multilevel"/>
    <w:tmpl w:val="0A50F3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04" w:hanging="504"/>
      </w:pPr>
      <w:rPr>
        <w:rFonts w:hint="default"/>
        <w:b/>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9"/>
  </w:num>
  <w:num w:numId="2">
    <w:abstractNumId w:val="0"/>
  </w:num>
  <w:num w:numId="3">
    <w:abstractNumId w:val="4"/>
  </w:num>
  <w:num w:numId="4">
    <w:abstractNumId w:val="12"/>
  </w:num>
  <w:num w:numId="5">
    <w:abstractNumId w:val="6"/>
  </w:num>
  <w:num w:numId="6">
    <w:abstractNumId w:val="18"/>
  </w:num>
  <w:num w:numId="7">
    <w:abstractNumId w:val="7"/>
  </w:num>
  <w:num w:numId="8">
    <w:abstractNumId w:val="20"/>
  </w:num>
  <w:num w:numId="9">
    <w:abstractNumId w:val="11"/>
  </w:num>
  <w:num w:numId="10">
    <w:abstractNumId w:val="3"/>
  </w:num>
  <w:num w:numId="11">
    <w:abstractNumId w:val="16"/>
  </w:num>
  <w:num w:numId="12">
    <w:abstractNumId w:val="15"/>
  </w:num>
  <w:num w:numId="13">
    <w:abstractNumId w:val="5"/>
  </w:num>
  <w:num w:numId="14">
    <w:abstractNumId w:val="8"/>
  </w:num>
  <w:num w:numId="15">
    <w:abstractNumId w:val="9"/>
  </w:num>
  <w:num w:numId="16">
    <w:abstractNumId w:val="10"/>
  </w:num>
  <w:num w:numId="17">
    <w:abstractNumId w:val="1"/>
  </w:num>
  <w:num w:numId="18">
    <w:abstractNumId w:val="21"/>
  </w:num>
  <w:num w:numId="19">
    <w:abstractNumId w:val="17"/>
  </w:num>
  <w:num w:numId="20">
    <w:abstractNumId w:val="2"/>
  </w:num>
  <w:num w:numId="21">
    <w:abstractNumId w:val="14"/>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67D"/>
    <w:rsid w:val="0000082E"/>
    <w:rsid w:val="00023375"/>
    <w:rsid w:val="00024A54"/>
    <w:rsid w:val="000319B1"/>
    <w:rsid w:val="00046193"/>
    <w:rsid w:val="00050E1C"/>
    <w:rsid w:val="00063667"/>
    <w:rsid w:val="0007189F"/>
    <w:rsid w:val="00074F7B"/>
    <w:rsid w:val="00091BA5"/>
    <w:rsid w:val="000B50E6"/>
    <w:rsid w:val="000B5E63"/>
    <w:rsid w:val="000D4D18"/>
    <w:rsid w:val="000E4C30"/>
    <w:rsid w:val="001074D5"/>
    <w:rsid w:val="001079F1"/>
    <w:rsid w:val="00107F98"/>
    <w:rsid w:val="00113598"/>
    <w:rsid w:val="001250CC"/>
    <w:rsid w:val="00133E60"/>
    <w:rsid w:val="00153118"/>
    <w:rsid w:val="00163432"/>
    <w:rsid w:val="001639A2"/>
    <w:rsid w:val="00166D4A"/>
    <w:rsid w:val="00182B3A"/>
    <w:rsid w:val="00183CAA"/>
    <w:rsid w:val="001C0759"/>
    <w:rsid w:val="001E3CCD"/>
    <w:rsid w:val="001E4969"/>
    <w:rsid w:val="001E4A2E"/>
    <w:rsid w:val="001F6406"/>
    <w:rsid w:val="002077F8"/>
    <w:rsid w:val="002128F8"/>
    <w:rsid w:val="002134D0"/>
    <w:rsid w:val="00213E94"/>
    <w:rsid w:val="00220D71"/>
    <w:rsid w:val="00252FE7"/>
    <w:rsid w:val="0026235D"/>
    <w:rsid w:val="002674C2"/>
    <w:rsid w:val="00272625"/>
    <w:rsid w:val="00273EF0"/>
    <w:rsid w:val="00276D50"/>
    <w:rsid w:val="002779EA"/>
    <w:rsid w:val="0028344B"/>
    <w:rsid w:val="002A0918"/>
    <w:rsid w:val="002B131E"/>
    <w:rsid w:val="002D4E47"/>
    <w:rsid w:val="002D5E75"/>
    <w:rsid w:val="002E0320"/>
    <w:rsid w:val="002E14CE"/>
    <w:rsid w:val="002F624C"/>
    <w:rsid w:val="0032167A"/>
    <w:rsid w:val="00322AE4"/>
    <w:rsid w:val="00325E7B"/>
    <w:rsid w:val="003469CB"/>
    <w:rsid w:val="003545F3"/>
    <w:rsid w:val="0035796C"/>
    <w:rsid w:val="00370A02"/>
    <w:rsid w:val="0037367D"/>
    <w:rsid w:val="003753D0"/>
    <w:rsid w:val="00375583"/>
    <w:rsid w:val="00394184"/>
    <w:rsid w:val="00396B0D"/>
    <w:rsid w:val="003974B7"/>
    <w:rsid w:val="003A0730"/>
    <w:rsid w:val="003B7BBC"/>
    <w:rsid w:val="003D3202"/>
    <w:rsid w:val="003D600C"/>
    <w:rsid w:val="003D6A8C"/>
    <w:rsid w:val="003E12FA"/>
    <w:rsid w:val="003F6430"/>
    <w:rsid w:val="004010D9"/>
    <w:rsid w:val="004055CC"/>
    <w:rsid w:val="00464559"/>
    <w:rsid w:val="00476055"/>
    <w:rsid w:val="00476F5E"/>
    <w:rsid w:val="00490041"/>
    <w:rsid w:val="00492DDF"/>
    <w:rsid w:val="00497977"/>
    <w:rsid w:val="004A3FBC"/>
    <w:rsid w:val="004B78E0"/>
    <w:rsid w:val="004C0D25"/>
    <w:rsid w:val="004C7889"/>
    <w:rsid w:val="004F19F3"/>
    <w:rsid w:val="004F31DC"/>
    <w:rsid w:val="004F58C4"/>
    <w:rsid w:val="00506DE1"/>
    <w:rsid w:val="005204C3"/>
    <w:rsid w:val="00520537"/>
    <w:rsid w:val="00524005"/>
    <w:rsid w:val="00530903"/>
    <w:rsid w:val="00563409"/>
    <w:rsid w:val="005675CE"/>
    <w:rsid w:val="00573099"/>
    <w:rsid w:val="00582F73"/>
    <w:rsid w:val="00587D03"/>
    <w:rsid w:val="005B5ECA"/>
    <w:rsid w:val="005C0A10"/>
    <w:rsid w:val="005C2545"/>
    <w:rsid w:val="005D12E4"/>
    <w:rsid w:val="005D48AA"/>
    <w:rsid w:val="006070F5"/>
    <w:rsid w:val="0061108E"/>
    <w:rsid w:val="006142B9"/>
    <w:rsid w:val="00631080"/>
    <w:rsid w:val="0064227E"/>
    <w:rsid w:val="00644CF6"/>
    <w:rsid w:val="0065018C"/>
    <w:rsid w:val="00654380"/>
    <w:rsid w:val="00661326"/>
    <w:rsid w:val="00665FF8"/>
    <w:rsid w:val="00672014"/>
    <w:rsid w:val="00674127"/>
    <w:rsid w:val="006A7FD2"/>
    <w:rsid w:val="006B10AB"/>
    <w:rsid w:val="006C0451"/>
    <w:rsid w:val="006C5265"/>
    <w:rsid w:val="006C6FE0"/>
    <w:rsid w:val="006D3AA4"/>
    <w:rsid w:val="006E2A12"/>
    <w:rsid w:val="006F0C68"/>
    <w:rsid w:val="006F4FE0"/>
    <w:rsid w:val="006F59B8"/>
    <w:rsid w:val="00714BF2"/>
    <w:rsid w:val="00746E8B"/>
    <w:rsid w:val="007677F1"/>
    <w:rsid w:val="00772CEA"/>
    <w:rsid w:val="007A3C7B"/>
    <w:rsid w:val="007D67BF"/>
    <w:rsid w:val="007D7F3B"/>
    <w:rsid w:val="007E29E6"/>
    <w:rsid w:val="007F15C5"/>
    <w:rsid w:val="007F1607"/>
    <w:rsid w:val="007F1A5E"/>
    <w:rsid w:val="007F382E"/>
    <w:rsid w:val="007F646D"/>
    <w:rsid w:val="008019E6"/>
    <w:rsid w:val="00804C87"/>
    <w:rsid w:val="00823BAA"/>
    <w:rsid w:val="00840DA0"/>
    <w:rsid w:val="0086243F"/>
    <w:rsid w:val="00871237"/>
    <w:rsid w:val="00885B33"/>
    <w:rsid w:val="008876A5"/>
    <w:rsid w:val="008B1EE3"/>
    <w:rsid w:val="008C5EBD"/>
    <w:rsid w:val="008D583C"/>
    <w:rsid w:val="008F5E8D"/>
    <w:rsid w:val="00905EBC"/>
    <w:rsid w:val="009069CD"/>
    <w:rsid w:val="00917DB5"/>
    <w:rsid w:val="00952DA6"/>
    <w:rsid w:val="009804D4"/>
    <w:rsid w:val="0099156E"/>
    <w:rsid w:val="00993058"/>
    <w:rsid w:val="009B5D8C"/>
    <w:rsid w:val="009B7C09"/>
    <w:rsid w:val="00A048B1"/>
    <w:rsid w:val="00A146FF"/>
    <w:rsid w:val="00A231F5"/>
    <w:rsid w:val="00A3013D"/>
    <w:rsid w:val="00A517FE"/>
    <w:rsid w:val="00A61A5A"/>
    <w:rsid w:val="00A64876"/>
    <w:rsid w:val="00A838E4"/>
    <w:rsid w:val="00AD1E50"/>
    <w:rsid w:val="00AD3E34"/>
    <w:rsid w:val="00AD5204"/>
    <w:rsid w:val="00AF475B"/>
    <w:rsid w:val="00AF5A9F"/>
    <w:rsid w:val="00B0004C"/>
    <w:rsid w:val="00B03D77"/>
    <w:rsid w:val="00B04082"/>
    <w:rsid w:val="00B06AC4"/>
    <w:rsid w:val="00B170BF"/>
    <w:rsid w:val="00B32DE0"/>
    <w:rsid w:val="00B35089"/>
    <w:rsid w:val="00B37917"/>
    <w:rsid w:val="00B75B62"/>
    <w:rsid w:val="00B87C30"/>
    <w:rsid w:val="00B90FD6"/>
    <w:rsid w:val="00B93016"/>
    <w:rsid w:val="00B948DF"/>
    <w:rsid w:val="00B96674"/>
    <w:rsid w:val="00BC3B1B"/>
    <w:rsid w:val="00BD192D"/>
    <w:rsid w:val="00BD6289"/>
    <w:rsid w:val="00BE37CD"/>
    <w:rsid w:val="00BE76FD"/>
    <w:rsid w:val="00BF0C98"/>
    <w:rsid w:val="00BF34D0"/>
    <w:rsid w:val="00BF7E42"/>
    <w:rsid w:val="00C01639"/>
    <w:rsid w:val="00C01964"/>
    <w:rsid w:val="00C02112"/>
    <w:rsid w:val="00C26E47"/>
    <w:rsid w:val="00C5420A"/>
    <w:rsid w:val="00C56BB7"/>
    <w:rsid w:val="00C64F33"/>
    <w:rsid w:val="00C75FA9"/>
    <w:rsid w:val="00C83091"/>
    <w:rsid w:val="00C93165"/>
    <w:rsid w:val="00C97C3A"/>
    <w:rsid w:val="00CB0454"/>
    <w:rsid w:val="00CB7196"/>
    <w:rsid w:val="00CE5A6D"/>
    <w:rsid w:val="00CF2D57"/>
    <w:rsid w:val="00D0232F"/>
    <w:rsid w:val="00D06E21"/>
    <w:rsid w:val="00D10282"/>
    <w:rsid w:val="00D35D34"/>
    <w:rsid w:val="00D55761"/>
    <w:rsid w:val="00D6308B"/>
    <w:rsid w:val="00D671F9"/>
    <w:rsid w:val="00D7357A"/>
    <w:rsid w:val="00D73C85"/>
    <w:rsid w:val="00D74799"/>
    <w:rsid w:val="00D76187"/>
    <w:rsid w:val="00D81D0A"/>
    <w:rsid w:val="00D83961"/>
    <w:rsid w:val="00DA6D09"/>
    <w:rsid w:val="00DB1140"/>
    <w:rsid w:val="00DB65B4"/>
    <w:rsid w:val="00DD41BF"/>
    <w:rsid w:val="00DD66CF"/>
    <w:rsid w:val="00DE136A"/>
    <w:rsid w:val="00DE3C32"/>
    <w:rsid w:val="00DE5A25"/>
    <w:rsid w:val="00E06799"/>
    <w:rsid w:val="00E0782E"/>
    <w:rsid w:val="00E125A9"/>
    <w:rsid w:val="00E36C3E"/>
    <w:rsid w:val="00E42FCE"/>
    <w:rsid w:val="00E5173E"/>
    <w:rsid w:val="00E55BE7"/>
    <w:rsid w:val="00E636E7"/>
    <w:rsid w:val="00E7070E"/>
    <w:rsid w:val="00EA7E36"/>
    <w:rsid w:val="00EB6F63"/>
    <w:rsid w:val="00EC0E5E"/>
    <w:rsid w:val="00EC34B7"/>
    <w:rsid w:val="00EC6E52"/>
    <w:rsid w:val="00ED7071"/>
    <w:rsid w:val="00EE541A"/>
    <w:rsid w:val="00EE68B7"/>
    <w:rsid w:val="00EF5419"/>
    <w:rsid w:val="00EF7960"/>
    <w:rsid w:val="00F21B95"/>
    <w:rsid w:val="00F21FEE"/>
    <w:rsid w:val="00F65344"/>
    <w:rsid w:val="00F7711D"/>
    <w:rsid w:val="00FA1300"/>
    <w:rsid w:val="00FC50DA"/>
    <w:rsid w:val="00FD6EFE"/>
    <w:rsid w:val="00FE1813"/>
    <w:rsid w:val="00FF5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E7417B-C1B6-440E-94AA-74C5522AA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1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10D9"/>
    <w:rPr>
      <w:rFonts w:ascii="Tahoma" w:hAnsi="Tahoma" w:cs="Tahoma"/>
      <w:sz w:val="16"/>
      <w:szCs w:val="16"/>
    </w:rPr>
  </w:style>
  <w:style w:type="paragraph" w:styleId="ListParagraph">
    <w:name w:val="List Paragraph"/>
    <w:basedOn w:val="Normal"/>
    <w:uiPriority w:val="34"/>
    <w:qFormat/>
    <w:rsid w:val="00BC3B1B"/>
    <w:pPr>
      <w:ind w:left="720"/>
      <w:contextualSpacing/>
    </w:pPr>
  </w:style>
  <w:style w:type="paragraph" w:styleId="FootnoteText">
    <w:name w:val="footnote text"/>
    <w:basedOn w:val="Normal"/>
    <w:link w:val="FootnoteTextChar"/>
    <w:uiPriority w:val="99"/>
    <w:semiHidden/>
    <w:unhideWhenUsed/>
    <w:rsid w:val="00C26E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6E47"/>
    <w:rPr>
      <w:sz w:val="20"/>
      <w:szCs w:val="20"/>
    </w:rPr>
  </w:style>
  <w:style w:type="character" w:styleId="FootnoteReference">
    <w:name w:val="footnote reference"/>
    <w:basedOn w:val="DefaultParagraphFont"/>
    <w:uiPriority w:val="99"/>
    <w:semiHidden/>
    <w:unhideWhenUsed/>
    <w:rsid w:val="00C26E47"/>
    <w:rPr>
      <w:vertAlign w:val="superscript"/>
    </w:rPr>
  </w:style>
  <w:style w:type="paragraph" w:styleId="Header">
    <w:name w:val="header"/>
    <w:basedOn w:val="Normal"/>
    <w:link w:val="HeaderChar"/>
    <w:uiPriority w:val="99"/>
    <w:unhideWhenUsed/>
    <w:rsid w:val="00ED7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071"/>
  </w:style>
  <w:style w:type="paragraph" w:styleId="Footer">
    <w:name w:val="footer"/>
    <w:basedOn w:val="Normal"/>
    <w:link w:val="FooterChar"/>
    <w:uiPriority w:val="99"/>
    <w:unhideWhenUsed/>
    <w:rsid w:val="00ED70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071"/>
  </w:style>
  <w:style w:type="paragraph" w:styleId="Caption">
    <w:name w:val="caption"/>
    <w:basedOn w:val="Normal"/>
    <w:next w:val="Normal"/>
    <w:uiPriority w:val="35"/>
    <w:unhideWhenUsed/>
    <w:qFormat/>
    <w:rsid w:val="00FE1813"/>
    <w:pPr>
      <w:spacing w:line="240" w:lineRule="auto"/>
    </w:pPr>
    <w:rPr>
      <w:b/>
      <w:bCs/>
      <w:color w:val="4F81BD" w:themeColor="accent1"/>
      <w:sz w:val="18"/>
      <w:szCs w:val="18"/>
    </w:rPr>
  </w:style>
  <w:style w:type="table" w:styleId="TableGrid">
    <w:name w:val="Table Grid"/>
    <w:basedOn w:val="TableNormal"/>
    <w:uiPriority w:val="59"/>
    <w:rsid w:val="00A83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53D0"/>
    <w:rPr>
      <w:sz w:val="16"/>
      <w:szCs w:val="16"/>
    </w:rPr>
  </w:style>
  <w:style w:type="paragraph" w:styleId="CommentText">
    <w:name w:val="annotation text"/>
    <w:basedOn w:val="Normal"/>
    <w:link w:val="CommentTextChar"/>
    <w:uiPriority w:val="99"/>
    <w:semiHidden/>
    <w:unhideWhenUsed/>
    <w:rsid w:val="003753D0"/>
    <w:pPr>
      <w:spacing w:line="240" w:lineRule="auto"/>
    </w:pPr>
    <w:rPr>
      <w:sz w:val="20"/>
      <w:szCs w:val="20"/>
    </w:rPr>
  </w:style>
  <w:style w:type="character" w:customStyle="1" w:styleId="CommentTextChar">
    <w:name w:val="Comment Text Char"/>
    <w:basedOn w:val="DefaultParagraphFont"/>
    <w:link w:val="CommentText"/>
    <w:uiPriority w:val="99"/>
    <w:semiHidden/>
    <w:rsid w:val="003753D0"/>
    <w:rPr>
      <w:sz w:val="20"/>
      <w:szCs w:val="20"/>
    </w:rPr>
  </w:style>
  <w:style w:type="paragraph" w:styleId="CommentSubject">
    <w:name w:val="annotation subject"/>
    <w:basedOn w:val="CommentText"/>
    <w:next w:val="CommentText"/>
    <w:link w:val="CommentSubjectChar"/>
    <w:uiPriority w:val="99"/>
    <w:semiHidden/>
    <w:unhideWhenUsed/>
    <w:rsid w:val="003753D0"/>
    <w:rPr>
      <w:b/>
      <w:bCs/>
    </w:rPr>
  </w:style>
  <w:style w:type="character" w:customStyle="1" w:styleId="CommentSubjectChar">
    <w:name w:val="Comment Subject Char"/>
    <w:basedOn w:val="CommentTextChar"/>
    <w:link w:val="CommentSubject"/>
    <w:uiPriority w:val="99"/>
    <w:semiHidden/>
    <w:rsid w:val="003753D0"/>
    <w:rPr>
      <w:b/>
      <w:bCs/>
      <w:sz w:val="20"/>
      <w:szCs w:val="20"/>
    </w:rPr>
  </w:style>
  <w:style w:type="character" w:styleId="Hyperlink">
    <w:name w:val="Hyperlink"/>
    <w:basedOn w:val="DefaultParagraphFont"/>
    <w:uiPriority w:val="99"/>
    <w:unhideWhenUsed/>
    <w:rsid w:val="005204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77184">
      <w:bodyDiv w:val="1"/>
      <w:marLeft w:val="0"/>
      <w:marRight w:val="0"/>
      <w:marTop w:val="0"/>
      <w:marBottom w:val="0"/>
      <w:divBdr>
        <w:top w:val="none" w:sz="0" w:space="0" w:color="auto"/>
        <w:left w:val="none" w:sz="0" w:space="0" w:color="auto"/>
        <w:bottom w:val="none" w:sz="0" w:space="0" w:color="auto"/>
        <w:right w:val="none" w:sz="0" w:space="0" w:color="auto"/>
      </w:divBdr>
    </w:div>
    <w:div w:id="127163766">
      <w:bodyDiv w:val="1"/>
      <w:marLeft w:val="0"/>
      <w:marRight w:val="0"/>
      <w:marTop w:val="0"/>
      <w:marBottom w:val="0"/>
      <w:divBdr>
        <w:top w:val="none" w:sz="0" w:space="0" w:color="auto"/>
        <w:left w:val="none" w:sz="0" w:space="0" w:color="auto"/>
        <w:bottom w:val="none" w:sz="0" w:space="0" w:color="auto"/>
        <w:right w:val="none" w:sz="0" w:space="0" w:color="auto"/>
      </w:divBdr>
    </w:div>
    <w:div w:id="954945777">
      <w:bodyDiv w:val="1"/>
      <w:marLeft w:val="0"/>
      <w:marRight w:val="0"/>
      <w:marTop w:val="0"/>
      <w:marBottom w:val="0"/>
      <w:divBdr>
        <w:top w:val="none" w:sz="0" w:space="0" w:color="auto"/>
        <w:left w:val="none" w:sz="0" w:space="0" w:color="auto"/>
        <w:bottom w:val="none" w:sz="0" w:space="0" w:color="auto"/>
        <w:right w:val="none" w:sz="0" w:space="0" w:color="auto"/>
      </w:divBdr>
    </w:div>
    <w:div w:id="1286883869">
      <w:bodyDiv w:val="1"/>
      <w:marLeft w:val="0"/>
      <w:marRight w:val="0"/>
      <w:marTop w:val="0"/>
      <w:marBottom w:val="0"/>
      <w:divBdr>
        <w:top w:val="none" w:sz="0" w:space="0" w:color="auto"/>
        <w:left w:val="none" w:sz="0" w:space="0" w:color="auto"/>
        <w:bottom w:val="none" w:sz="0" w:space="0" w:color="auto"/>
        <w:right w:val="none" w:sz="0" w:space="0" w:color="auto"/>
      </w:divBdr>
    </w:div>
    <w:div w:id="1534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1" Type="http://schemas.openxmlformats.org/officeDocument/2006/relationships/hyperlink" Target="http://deeresour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6A521-B968-42B2-B2AB-C9C4E5FD2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12</Pages>
  <Words>2952</Words>
  <Characters>15117</Characters>
  <Application>Microsoft Office Word</Application>
  <DocSecurity>0</DocSecurity>
  <Lines>487</Lines>
  <Paragraphs>361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17708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J Hirsch</dc:creator>
  <cp:lastModifiedBy>James Hirsch</cp:lastModifiedBy>
  <cp:revision>10</cp:revision>
  <dcterms:created xsi:type="dcterms:W3CDTF">2015-05-18T17:14:00Z</dcterms:created>
  <dcterms:modified xsi:type="dcterms:W3CDTF">2015-05-21T19:43:00Z</dcterms:modified>
</cp:coreProperties>
</file>